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重庆上品生活服务（集团）有限公司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10158-2026-SC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2026年03月12日下午至2026年03月13日下午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8363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