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10683-2025-EEnMS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成都海和汇商务信息咨询有限公司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91510107MA62L2KU28</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E:认可,EnMS:未认可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成都海和汇商务信息咨询有限公司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成都市武侯区铁佛路29号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成都市锦江区大业路39号1005</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E:受银行委托对信用卡、消费信贷及其他信贷逾期账户进行提醒、催告、通知服务；受银行委托对个人逾期贷款催收、缴款通知服务所涉及场所的相关环境管理活动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EnMS:受银行委托对信用卡、消费信贷及其他信贷逾期账户进行提醒、催告、通知服务；受银行委托对个人逾期贷款催收、缴款通知服务所涉及的能源管理活动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成都海和汇商务信息咨询有限公司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成都市武侯区铁佛路29号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成都市锦江区大业路39号1005</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E:受银行委托对信用卡、消费信贷及其他信贷逾期账户进行提醒、催告、通知服务；受银行委托对个人逾期贷款催收、缴款通知服务所涉及场所的相关环境管理活动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EnMS:受银行委托对信用卡、消费信贷及其他信贷逾期账户进行提醒、催告、通知服务；受银行委托对个人逾期贷款催收、缴款通知服务所涉及的能源管理活动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53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