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2848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上海东悦电子设备安装有限公司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045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33.02.02,35.13.00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35.13.00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33.02.02,35.13.00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吴芳梅</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341227198104027088</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592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