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455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石家庄市钰彤电气设备有限公司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夏爱俭、李丽英、郗文勇、辛立霞</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385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2025-N0OHSMS-1428437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2025年09月21日上午至2025年09月21日上午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2025年09月21日上午至2025年09月21日上午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夏爱俭、李丽英、郗文勇、辛立霞</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20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