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3725969"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上海润佳林智能科技有限公司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质量管理体系、环境管理体系、职业健康安全管理体系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吴亚清</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吴亚清、查月桂</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5246372"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吴亚清</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2024-N1OHSMS-1341354</w:t>
            </w:r>
          </w:p>
        </w:tc>
        <w:tc>
          <w:tcPr>
            <w:tcW w:w="3145" w:type="dxa"/>
            <w:vAlign w:val="center"/>
          </w:tcPr>
          <w:p w14:paraId="0AF64EA2">
            <w:pPr>
              <w:spacing w:line="360" w:lineRule="auto"/>
              <w:jc w:val="left"/>
              <w:rPr>
                <w:rFonts w:asciiTheme="minorEastAsia" w:eastAsiaTheme="minorEastAsia" w:hAnsiTheme="minorEastAsia"/>
                <w:szCs w:val="21"/>
              </w:rPr>
            </w:pPr>
            <w:r>
              <w:t>29.10.07,33.02.02,34.06.00</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吴亚清</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2024-N1QMS-1341354</w:t>
            </w:r>
          </w:p>
        </w:tc>
        <w:tc>
          <w:tcPr>
            <w:tcW w:w="3145" w:type="dxa"/>
            <w:vAlign w:val="center"/>
          </w:tcPr>
          <w:p w14:paraId="428F7A98">
            <w:pPr>
              <w:spacing w:line="360" w:lineRule="auto"/>
              <w:jc w:val="left"/>
              <w:rPr>
                <w:rFonts w:asciiTheme="minorEastAsia" w:eastAsiaTheme="minorEastAsia" w:hAnsiTheme="minorEastAsia"/>
              </w:rPr>
            </w:pPr>
            <w:r>
              <w:t>29.10.07,33.02.02,34.06.00</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吴亚清</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2024-N1EMS-1341354</w:t>
            </w:r>
          </w:p>
        </w:tc>
        <w:tc>
          <w:tcPr>
            <w:tcW w:w="3145" w:type="dxa"/>
            <w:vAlign w:val="center"/>
          </w:tcPr>
          <w:p w14:paraId="591646C4">
            <w:pPr>
              <w:spacing w:line="360" w:lineRule="auto"/>
              <w:jc w:val="left"/>
              <w:rPr>
                <w:rFonts w:asciiTheme="minorEastAsia" w:eastAsiaTheme="minorEastAsia" w:hAnsiTheme="minorEastAsia"/>
              </w:rPr>
            </w:pPr>
            <w:r>
              <w:t>29.10.07,33.02.02,34.06.00</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查月桂</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2025-N1EMS-1411658</w:t>
            </w:r>
          </w:p>
        </w:tc>
        <w:tc>
          <w:tcPr>
            <w:tcW w:w="3145" w:type="dxa"/>
            <w:vAlign w:val="center"/>
          </w:tcPr>
          <w:p>
            <w:pPr>
              <w:jc w:val="left"/>
            </w:pPr>
            <w:r>
              <w:t>29.10.07,33.02.02,34.06.00</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查月桂</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2025-N1QMS-1411658</w:t>
            </w:r>
          </w:p>
        </w:tc>
        <w:tc>
          <w:tcPr>
            <w:tcW w:w="3145" w:type="dxa"/>
            <w:vAlign w:val="center"/>
          </w:tcPr>
          <w:p>
            <w:pPr>
              <w:jc w:val="left"/>
            </w:pPr>
            <w:r>
              <w:t>29.10.07</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查月桂</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2025-N1OHSMS-1411658</w:t>
            </w:r>
          </w:p>
        </w:tc>
        <w:tc>
          <w:tcPr>
            <w:tcW w:w="3145" w:type="dxa"/>
            <w:vAlign w:val="center"/>
          </w:tcPr>
          <w:p>
            <w:pPr>
              <w:jc w:val="left"/>
            </w:pPr>
            <w:r>
              <w:t>29.10.07,33.02.02,34.06.00</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质量管理体系、环境管理体系、职业健康安全管理体系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GB/T19001-2016/ISO9001:2015、GB/T 24001-2016/ISO14001:2015、GB/T45001-2020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2025年07月15日上午至2025年07月15日上午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2025年07月15日上午至2025年07月15日上午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吴亚清</w:t>
      </w:r>
      <w:r>
        <w:rPr>
          <w:rFonts w:hint="eastAsia"/>
          <w:b/>
          <w:color w:val="auto"/>
          <w:kern w:val="2"/>
          <w:sz w:val="21"/>
          <w:lang w:val="en-GB"/>
        </w:rPr>
        <w:t xml:space="preserve">  </w:t>
      </w:r>
      <w:r>
        <w:rPr>
          <w:rFonts w:hint="eastAsia"/>
          <w:b/>
          <w:color w:val="auto"/>
          <w:kern w:val="2"/>
          <w:sz w:val="21"/>
          <w:lang w:val="en-GB"/>
        </w:rPr>
        <w:t>吴亚清、查月桂</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1236123"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