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116-2025-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慧兮（北京）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2MA04H3CJ3N</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慧兮（北京）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昌平区沙河镇昌平路97号7幢604(昌平示范园)</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昌平区沙河镇昌平路97号7幢604</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智能机器人和软件系统的研发与销售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智能机器人和软件系统的研发与销售及技术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慧兮（北京）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昌平区沙河镇昌平路97号7幢604(昌平示范园)</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昌平区沙河镇昌平路97号7幢604</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智能机器人和软件系统的研发与销售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智能机器人和软件系统的研发与销售及技术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419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