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20726-2025-QE</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赣州富展磁业有限公司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李双</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91360703MAE4TQ355G</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 24001-2016/ISO14001:2015、GB/T19001-2016/ISO9001:2015</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赣州富展磁业有限公司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江西省赣州市赣州经济技术开发区曼妮芬路5号赣州鑫诺稀土发光材料制备有限公司1#厂房</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江西省赣州市赣州经济技术开发区曼妮芬路5号赣州鑫诺稀土发光材料制备有限公司1#厂房</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E:稀土永磁材料的设计和生产所涉及场所的相关环境管理活动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Q:稀土永磁材料的设计和生产</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赣州富展磁业有限公司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江西省赣州市赣州经济技术开发区曼妮芬路5号赣州鑫诺稀土发光材料制备有限公司1#厂房</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江西省赣州市赣州经济技术开发区曼妮芬路5号赣州鑫诺稀土发光材料制备有限公司1#厂房</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E:稀土永磁材料的设计和生产所涉及场所的相关环境管理活动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Q:稀土永磁材料的设计和生产</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97125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