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21334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青岛康泰钢结构有限公司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姜永彬</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姜永彬</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82021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姜永彬</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2024-N1QMS-3238310</w:t>
            </w:r>
          </w:p>
        </w:tc>
        <w:tc>
          <w:tcPr>
            <w:tcW w:w="3145" w:type="dxa"/>
            <w:vAlign w:val="center"/>
          </w:tcPr>
          <w:p w14:paraId="0AF64EA2">
            <w:pPr>
              <w:spacing w:line="360" w:lineRule="auto"/>
              <w:jc w:val="left"/>
              <w:rPr>
                <w:rFonts w:asciiTheme="minorEastAsia" w:eastAsiaTheme="minorEastAsia" w:hAnsiTheme="minorEastAsia"/>
                <w:szCs w:val="21"/>
              </w:rPr>
            </w:pPr>
            <w:r>
              <w:t>17.06.01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2025年08月18日下午至2025年08月19日下午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2025年08月18日下午至2025年08月19日下午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姜永彬</w:t>
      </w:r>
      <w:r>
        <w:rPr>
          <w:rFonts w:hint="eastAsia"/>
          <w:b/>
          <w:color w:val="auto"/>
          <w:kern w:val="2"/>
          <w:sz w:val="21"/>
          <w:lang w:val="en-GB"/>
        </w:rPr>
        <w:t xml:space="preserve">  </w:t>
      </w:r>
      <w:r>
        <w:rPr>
          <w:rFonts w:hint="eastAsia"/>
          <w:b/>
          <w:color w:val="auto"/>
          <w:kern w:val="2"/>
          <w:sz w:val="21"/>
          <w:lang w:val="en-GB"/>
        </w:rPr>
        <w:t>姜永彬</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00443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