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20924-2025-EO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上海远怀智能科技股份有限公司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刘在政</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913101156972301049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上海远怀智能科技股份有限公司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上海市金山区汇丰东大街515号5幢</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上海市金山区汇丰东大街515号5幢</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E:化工、生物科技领域内的专业设备的研发、制造；制药科技领域内的专业设备的销售所涉及场所的相关环境管理活动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O:化工、生物科技领域内的专业设备的研发、制造；制药科技领域内的专业设备的销售所涉及场所的相关职业健康安全管理活动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上海远怀智能科技股份有限公司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上海市金山区汇丰东大街515号5幢</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上海市金山区汇丰东大街515号5幢</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E:化工、生物科技领域内的专业设备的研发、制造；制药科技领域内的专业设备的销售所涉及场所的相关环境管理活动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O:化工、生物科技领域内的专业设备的研发、制造；制药科技领域内的专业设备的销售所涉及场所的相关职业健康安全管理活动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3611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