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11016-2025-QEO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威海泰鸣新材料科技有限公司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91371000MADD5NDN3M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威海泰鸣新材料科技有限公司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山东省威海经济技术开发区崮山镇崮山路405-1号（自主申报）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山东省威海经济技术开发区崮山路与双轮路交叉口东南200米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E:新型膜材料（塑料）的研发、销售所涉及场所的相关环境管理活动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Q:新型膜材料（塑料）的研发、销售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O:新型膜材料（塑料）的研发、销售所涉及场所的相关职业健康安全管理活动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威海泰鸣新材料科技有限公司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山东省威海经济技术开发区崮山镇崮山路405-1号（自主申报）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山东省威海经济技术开发区崮山路与双轮路交叉口东南200米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E:新型膜材料（塑料）的研发、销售所涉及场所的相关环境管理活动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Q:新型膜材料（塑料）的研发、销售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O:新型膜材料（塑料）的研发、销售所涉及场所的相关职业健康安全管理活动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24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