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728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山东融泰信息科技有限公司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周长润、杨威</w:t>
            </w:r>
            <w:r>
              <w:rPr>
                <w:rFonts w:hint="eastAsia"/>
              </w:rPr>
              <w:t xml:space="preserve"> </w:t>
            </w:r>
            <w:r>
              <w:rPr>
                <w:rFonts w:hint="eastAsia"/>
              </w:rPr>
              <w:t>杨威</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867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29.09.01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杨威</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37292519980212317X</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2026年02月05日上午至2026年02月05日上午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2026年02月05日上午至2026年02月05日上午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周长润、杨威</w:t>
      </w:r>
      <w:r>
        <w:rPr>
          <w:rFonts w:hint="eastAsia"/>
          <w:b/>
          <w:color w:val="auto"/>
          <w:kern w:val="2"/>
          <w:sz w:val="21"/>
          <w:lang w:val="en-GB"/>
        </w:rPr>
        <w:t xml:space="preserve"> </w:t>
      </w:r>
      <w:r>
        <w:rPr>
          <w:rFonts w:hint="eastAsia"/>
          <w:b/>
          <w:color w:val="auto"/>
          <w:kern w:val="2"/>
          <w:sz w:val="21"/>
          <w:lang w:val="en-GB"/>
        </w:rPr>
        <w:t>杨威</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7237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