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20223-2026-QES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宸鑫互动智能科技（广东）有限责任公司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明利红</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91440608MAG1G4J14N</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宸鑫互动智能科技（广东）有限责任公司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佛山市高明区荷城街道富恒路83号研发大楼209、211、212室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佛山市高明区荷城街道富恒路83号研发大楼209、211、212室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Q::固态绝缘包覆机机器人的设计和销售</w:t>
            </w:r>
          </w:p>
          <w:p>
            <w:pPr>
              <w:snapToGrid w:val="0"/>
              <w:spacing w:line="0" w:lineRule="atLeast"/>
              <w:jc w:val="left"/>
              <w:rPr>
                <w:rFonts w:hint="eastAsia"/>
                <w:sz w:val="21"/>
                <w:szCs w:val="21"/>
                <w:lang w:val="en-GB"/>
              </w:rPr>
            </w:pPr>
            <w:r>
              <w:rPr>
                <w:rFonts w:hint="eastAsia"/>
                <w:sz w:val="21"/>
                <w:szCs w:val="21"/>
                <w:lang w:val="en-GB"/>
              </w:rPr>
              <w:t>E::固态绝缘包覆机机器人的设计和销售所涉及场所的相关环境管理活动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S::固态绝缘包覆机机器人的设计和销售所涉及场所的相关职业健康安全管理活动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宸鑫互动智能科技（广东）有限责任公司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佛山市高明区荷城街道富恒路83号研发大楼209、211、212室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佛山市高明区荷城街道富恒路83号研发大楼209、211、212室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Q::固态绝缘包覆机机器人的设计和销售</w:t>
            </w:r>
          </w:p>
          <w:p>
            <w:pPr>
              <w:snapToGrid w:val="0"/>
              <w:spacing w:line="0" w:lineRule="atLeast"/>
              <w:jc w:val="left"/>
              <w:rPr>
                <w:rFonts w:hint="eastAsia"/>
                <w:sz w:val="21"/>
                <w:szCs w:val="21"/>
                <w:lang w:val="en-GB"/>
              </w:rPr>
            </w:pPr>
            <w:r>
              <w:rPr>
                <w:rFonts w:hint="eastAsia"/>
                <w:sz w:val="21"/>
                <w:szCs w:val="21"/>
                <w:lang w:val="en-GB"/>
              </w:rPr>
              <w:t>E::固态绝缘包覆机机器人的设计和销售所涉及场所的相关环境管理活动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S::固态绝缘包覆机机器人的设计和销售所涉及场所的相关职业健康安全管理活动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129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