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52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河北筑源商品混凝土有限公司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赵艳敏、潘琳、周文廷</w:t>
            </w:r>
            <w:r>
              <w:rPr>
                <w:rFonts w:hint="eastAsia"/>
              </w:rPr>
              <w:t xml:space="preserve"> </w:t>
            </w:r>
            <w:r>
              <w:rPr>
                <w:rFonts w:hint="eastAsia"/>
              </w:rPr>
              <w:t>周文廷</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930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2023-N1EnMS-1299359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2025-N1EnMS-1304083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ISC-244880</w:t>
            </w:r>
          </w:p>
        </w:tc>
        <w:tc>
          <w:tcPr>
            <w:tcW w:w="3145" w:type="dxa"/>
            <w:vAlign w:val="center"/>
          </w:tcPr>
          <w:p w14:paraId="591646C4">
            <w:pPr>
              <w:spacing w:line="360" w:lineRule="auto"/>
              <w:jc w:val="left"/>
              <w:rPr>
                <w:rFonts w:asciiTheme="minorEastAsia" w:eastAsiaTheme="minorEastAsia" w:hAnsiTheme="minorEastAsia"/>
              </w:rPr>
            </w:pPr>
            <w:r>
              <w:t>2.4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2026年01月04日上午至2026年01月04日上午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2026年01月04日上午至2026年01月04日上午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赵艳敏、潘琳、周文廷</w:t>
      </w:r>
      <w:r>
        <w:rPr>
          <w:rFonts w:hint="eastAsia"/>
          <w:b/>
          <w:color w:val="auto"/>
          <w:kern w:val="2"/>
          <w:sz w:val="21"/>
          <w:lang w:val="en-GB"/>
        </w:rPr>
        <w:t xml:space="preserve"> </w:t>
      </w:r>
      <w:r>
        <w:rPr>
          <w:rFonts w:hint="eastAsia"/>
          <w:b/>
          <w:color w:val="auto"/>
          <w:kern w:val="2"/>
          <w:sz w:val="21"/>
          <w:lang w:val="en-GB"/>
        </w:rPr>
        <w:t>周文廷</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512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