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0154-2019-M/0490-2019-E-2021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宝鸡市陈仓区东升锻造厂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宝鸡市陈仓区东升锻造厂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陕西省宝鸡市高新开发区钓渭镇西崖村</w:t>
            </w:r>
            <w:bookmarkEnd w:id="6"/>
          </w:p>
        </w:tc>
        <w:tc>
          <w:tcPr>
            <w:tcW w:w="1242" w:type="dxa"/>
            <w:vMerge w:val="restart"/>
            <w:vAlign w:val="center"/>
          </w:tcPr>
          <w:p>
            <w:r>
              <w:rPr>
                <w:rFonts w:hint="eastAsia"/>
              </w:rPr>
              <w:t>邮编</w:t>
            </w:r>
          </w:p>
        </w:tc>
        <w:tc>
          <w:tcPr>
            <w:tcW w:w="1771" w:type="dxa"/>
          </w:tcPr>
          <w:p>
            <w:bookmarkStart w:id="7" w:name="注册邮编"/>
            <w:r>
              <w:t>721304</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陕西省宝鸡市高新开发区钓渭镇西崖村</w:t>
            </w:r>
            <w:bookmarkEnd w:id="8"/>
          </w:p>
        </w:tc>
        <w:tc>
          <w:tcPr>
            <w:tcW w:w="1242" w:type="dxa"/>
            <w:vMerge w:val="continue"/>
            <w:vAlign w:val="center"/>
          </w:tcPr>
          <w:p/>
        </w:tc>
        <w:tc>
          <w:tcPr>
            <w:tcW w:w="1771" w:type="dxa"/>
          </w:tcPr>
          <w:p>
            <w:bookmarkStart w:id="9" w:name="办公邮编"/>
            <w:r>
              <w:t>721304</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尚铁娃</w:t>
            </w:r>
            <w:bookmarkEnd w:id="10"/>
          </w:p>
        </w:tc>
        <w:tc>
          <w:tcPr>
            <w:tcW w:w="1313" w:type="dxa"/>
            <w:vAlign w:val="center"/>
          </w:tcPr>
          <w:p>
            <w:r>
              <w:rPr>
                <w:rFonts w:hint="eastAsia"/>
              </w:rPr>
              <w:t>电话.</w:t>
            </w:r>
          </w:p>
        </w:tc>
        <w:tc>
          <w:tcPr>
            <w:tcW w:w="2180" w:type="dxa"/>
            <w:vAlign w:val="center"/>
          </w:tcPr>
          <w:p>
            <w:bookmarkStart w:id="11" w:name="联系人电话"/>
            <w:r>
              <w:t>13038492993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庞东生</w:t>
            </w:r>
            <w:bookmarkEnd w:id="13"/>
          </w:p>
        </w:tc>
        <w:tc>
          <w:tcPr>
            <w:tcW w:w="1313" w:type="dxa"/>
            <w:vAlign w:val="center"/>
          </w:tcPr>
          <w:p>
            <w:r>
              <w:rPr>
                <w:rFonts w:hint="eastAsia"/>
              </w:rPr>
              <w:t>管理者代表</w:t>
            </w:r>
          </w:p>
        </w:tc>
        <w:tc>
          <w:tcPr>
            <w:tcW w:w="2180" w:type="dxa"/>
          </w:tcPr>
          <w:p>
            <w:bookmarkStart w:id="14" w:name="管理者代表"/>
            <w:r>
              <w:t>尚铁娃</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top"/>
          </w:tcPr>
          <w:p>
            <w:pPr>
              <w:rPr>
                <w:rFonts w:hint="eastAsia" w:ascii="Times New Roman" w:hAnsi="Times New Roman" w:eastAsia="宋体" w:cs="Times New Roman"/>
                <w:kern w:val="2"/>
                <w:sz w:val="21"/>
                <w:szCs w:val="24"/>
                <w:lang w:val="en-US" w:eastAsia="zh-CN" w:bidi="ar-SA"/>
              </w:rPr>
            </w:pPr>
            <w:r>
              <w:rPr>
                <w:rFonts w:hint="eastAsia"/>
                <w:highlight w:val="cyan"/>
              </w:rPr>
              <w:t>多班次说明</w:t>
            </w:r>
          </w:p>
        </w:tc>
        <w:tc>
          <w:tcPr>
            <w:tcW w:w="8058" w:type="dxa"/>
            <w:gridSpan w:val="5"/>
            <w:vAlign w:val="top"/>
          </w:tcPr>
          <w:p>
            <w:pPr>
              <w:rPr>
                <w:rFonts w:ascii="Times New Roman" w:hAnsi="Times New Roman" w:eastAsia="宋体" w:cs="Times New Roman"/>
                <w:kern w:val="2"/>
                <w:sz w:val="21"/>
                <w:szCs w:val="24"/>
                <w:lang w:val="en-US" w:eastAsia="zh-CN" w:bidi="ar-SA"/>
              </w:rPr>
            </w:pPr>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宋体" w:hAnsi="宋体"/>
                <w:szCs w:val="21"/>
              </w:rPr>
              <w:t>下料→加热→锻造成型→冲孔→车毛刺→热处理→抛丸→粗车→检验→入库。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2695"/>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5" w:name="审核日期"/>
            <w:r>
              <w:rPr>
                <w:rFonts w:hint="eastAsia"/>
              </w:rPr>
              <w:t>2021年10月30日 下午至2021年10月31日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5428" w:type="dxa"/>
            <w:gridSpan w:val="2"/>
            <w:vMerge w:val="restart"/>
            <w:vAlign w:val="center"/>
          </w:tcPr>
          <w:p>
            <w:bookmarkStart w:id="29" w:name="审核范围"/>
            <w:r>
              <w:t>汽车变速箱用轴、齿轮等产品的锻造和机械加工及相关环境管理活动</w:t>
            </w:r>
            <w:bookmarkEnd w:id="29"/>
          </w:p>
        </w:tc>
        <w:tc>
          <w:tcPr>
            <w:tcW w:w="240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32" w:type="dxa"/>
            <w:vMerge w:val="continue"/>
            <w:vAlign w:val="center"/>
          </w:tcPr>
          <w:p/>
        </w:tc>
        <w:tc>
          <w:tcPr>
            <w:tcW w:w="5428" w:type="dxa"/>
            <w:gridSpan w:val="2"/>
            <w:vMerge w:val="continue"/>
            <w:vAlign w:val="center"/>
          </w:tcPr>
          <w:p/>
        </w:tc>
        <w:tc>
          <w:tcPr>
            <w:tcW w:w="2403" w:type="dxa"/>
            <w:vAlign w:val="center"/>
          </w:tcPr>
          <w:p>
            <w:bookmarkStart w:id="30" w:name="专业代码"/>
            <w:r>
              <w:t>17.10.02;18.01.05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ascii="宋体" w:hAnsi="宋体"/>
                <w:szCs w:val="22"/>
              </w:rPr>
              <w:t>2019年 5月1日</w:t>
            </w:r>
          </w:p>
        </w:tc>
        <w:tc>
          <w:tcPr>
            <w:tcW w:w="2695" w:type="dxa"/>
            <w:vAlign w:val="center"/>
          </w:tcPr>
          <w:p>
            <w:r>
              <w:rPr>
                <w:rFonts w:hint="eastAsia"/>
              </w:rPr>
              <w:t>管理体系运行已超过3个月</w:t>
            </w:r>
          </w:p>
        </w:tc>
        <w:tc>
          <w:tcPr>
            <w:tcW w:w="2403"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r>
              <w:rPr>
                <w:rFonts w:hint="eastAsia"/>
              </w:rPr>
              <w:t>2020年12月11日 下午至2020年12月12日 上午</w:t>
            </w:r>
          </w:p>
        </w:tc>
        <w:tc>
          <w:tcPr>
            <w:tcW w:w="2695" w:type="dxa"/>
            <w:vAlign w:val="center"/>
          </w:tcPr>
          <w:p>
            <w:r>
              <w:rPr>
                <w:rFonts w:hint="eastAsia"/>
              </w:rPr>
              <w:t>认证证书有效期</w:t>
            </w:r>
          </w:p>
          <w:p>
            <w:r>
              <w:rPr>
                <w:rFonts w:hint="eastAsia"/>
              </w:rPr>
              <w:t>（初审除外）</w:t>
            </w:r>
          </w:p>
        </w:tc>
        <w:tc>
          <w:tcPr>
            <w:tcW w:w="2403" w:type="dxa"/>
            <w:vAlign w:val="center"/>
          </w:tcPr>
          <w:p>
            <w:r>
              <w:rPr>
                <w:rFonts w:hint="eastAsia"/>
              </w:rPr>
              <w:t>有效至</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24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46"/>
        <w:gridCol w:w="1988"/>
        <w:gridCol w:w="571"/>
        <w:gridCol w:w="2531"/>
        <w:gridCol w:w="9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546" w:type="dxa"/>
            <w:shd w:val="clear" w:color="auto" w:fill="F3F3F3"/>
            <w:tcMar>
              <w:left w:w="57" w:type="dxa"/>
              <w:right w:w="57" w:type="dxa"/>
            </w:tcMar>
          </w:tcPr>
          <w:p>
            <w:r>
              <w:rPr>
                <w:rFonts w:hint="eastAsia"/>
              </w:rPr>
              <w:t>组织名称及注册场所地址</w:t>
            </w:r>
          </w:p>
        </w:tc>
        <w:tc>
          <w:tcPr>
            <w:tcW w:w="1988"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31" w:type="dxa"/>
            <w:shd w:val="clear" w:color="auto" w:fill="F3F3F3"/>
            <w:tcMar>
              <w:left w:w="57" w:type="dxa"/>
              <w:right w:w="57" w:type="dxa"/>
            </w:tcMar>
          </w:tcPr>
          <w:p>
            <w:r>
              <w:rPr>
                <w:rFonts w:hint="eastAsia"/>
              </w:rPr>
              <w:t>审核范围（产品和过程）</w:t>
            </w:r>
          </w:p>
          <w:p/>
          <w:p/>
        </w:tc>
        <w:tc>
          <w:tcPr>
            <w:tcW w:w="94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546" w:type="dxa"/>
          </w:tcPr>
          <w:p>
            <w:pPr>
              <w:rPr>
                <w:rFonts w:asciiTheme="minorEastAsia" w:hAnsiTheme="minorEastAsia" w:eastAsiaTheme="minorEastAsia"/>
                <w:sz w:val="20"/>
              </w:rPr>
            </w:pPr>
            <w:r>
              <w:rPr>
                <w:rFonts w:hint="eastAsia" w:asciiTheme="minorEastAsia" w:hAnsiTheme="minorEastAsia" w:eastAsiaTheme="minorEastAsia"/>
                <w:sz w:val="20"/>
              </w:rPr>
              <w:t>宝鸡市陈仓区东升锻造厂</w:t>
            </w:r>
          </w:p>
          <w:p>
            <w:pPr>
              <w:rPr>
                <w:lang w:val="de-DE" w:eastAsia="ja-JP"/>
              </w:rPr>
            </w:pPr>
            <w:r>
              <w:rPr>
                <w:rFonts w:asciiTheme="minorEastAsia" w:hAnsiTheme="minorEastAsia" w:eastAsiaTheme="minorEastAsia"/>
                <w:sz w:val="20"/>
              </w:rPr>
              <w:t>陕西省宝鸡市高新开发区钓渭镇西崖村</w:t>
            </w:r>
          </w:p>
        </w:tc>
        <w:tc>
          <w:tcPr>
            <w:tcW w:w="1988" w:type="dxa"/>
          </w:tcPr>
          <w:p>
            <w:pPr>
              <w:rPr>
                <w:lang w:val="de-DE" w:eastAsia="ja-JP"/>
              </w:rPr>
            </w:pPr>
            <w:r>
              <w:rPr>
                <w:rFonts w:asciiTheme="minorEastAsia" w:hAnsiTheme="minorEastAsia" w:eastAsiaTheme="minorEastAsia"/>
                <w:sz w:val="20"/>
              </w:rPr>
              <w:t>陕西省宝鸡市高新开发区钓渭镇西崖村</w:t>
            </w:r>
          </w:p>
        </w:tc>
        <w:tc>
          <w:tcPr>
            <w:tcW w:w="571" w:type="dxa"/>
            <w:vAlign w:val="center"/>
          </w:tcPr>
          <w:p>
            <w:pPr>
              <w:rPr>
                <w:rFonts w:hint="default" w:eastAsia="宋体"/>
                <w:lang w:val="en-US" w:eastAsia="zh-CN"/>
              </w:rPr>
            </w:pPr>
            <w:r>
              <w:rPr>
                <w:rFonts w:hint="eastAsia"/>
                <w:lang w:val="en-US" w:eastAsia="zh-CN"/>
              </w:rPr>
              <w:t>23</w:t>
            </w:r>
          </w:p>
        </w:tc>
        <w:tc>
          <w:tcPr>
            <w:tcW w:w="2531" w:type="dxa"/>
            <w:vAlign w:val="center"/>
          </w:tcPr>
          <w:p>
            <w:pPr>
              <w:rPr>
                <w:lang w:eastAsia="ja-JP"/>
              </w:rPr>
            </w:pPr>
            <w:r>
              <w:rPr>
                <w:sz w:val="20"/>
              </w:rPr>
              <w:t>汽车变速箱用轴、齿轮等产品的锻造和机械加工及相关环境管理活动</w:t>
            </w:r>
          </w:p>
        </w:tc>
        <w:tc>
          <w:tcPr>
            <w:tcW w:w="941" w:type="dxa"/>
            <w:vAlign w:val="center"/>
          </w:tcPr>
          <w:p>
            <w:pPr>
              <w:rPr>
                <w:lang w:eastAsia="ja-JP"/>
              </w:rPr>
            </w:pPr>
            <w:r>
              <w:rPr>
                <w:rFonts w:hint="eastAsia"/>
                <w:b/>
                <w:sz w:val="20"/>
                <w:lang w:val="de-DE"/>
              </w:rPr>
              <w:t>GB/T 24001-2016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546" w:type="dxa"/>
            <w:vAlign w:val="center"/>
          </w:tcPr>
          <w:p>
            <w:pPr>
              <w:rPr>
                <w:lang w:eastAsia="ja-JP"/>
              </w:rPr>
            </w:pPr>
          </w:p>
        </w:tc>
        <w:tc>
          <w:tcPr>
            <w:tcW w:w="1988"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546" w:type="dxa"/>
            <w:vAlign w:val="center"/>
          </w:tcPr>
          <w:p>
            <w:pPr>
              <w:rPr>
                <w:lang w:eastAsia="ja-JP"/>
              </w:rPr>
            </w:pPr>
          </w:p>
        </w:tc>
        <w:tc>
          <w:tcPr>
            <w:tcW w:w="1988"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546" w:type="dxa"/>
            <w:vAlign w:val="center"/>
          </w:tcPr>
          <w:p>
            <w:pPr>
              <w:rPr>
                <w:lang w:eastAsia="ja-JP"/>
              </w:rPr>
            </w:pPr>
          </w:p>
        </w:tc>
        <w:tc>
          <w:tcPr>
            <w:tcW w:w="1988"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546" w:type="dxa"/>
            <w:vAlign w:val="center"/>
          </w:tcPr>
          <w:p>
            <w:pPr>
              <w:rPr>
                <w:lang w:eastAsia="ja-JP"/>
              </w:rPr>
            </w:pPr>
          </w:p>
        </w:tc>
        <w:tc>
          <w:tcPr>
            <w:tcW w:w="1988" w:type="dxa"/>
            <w:vAlign w:val="center"/>
          </w:tcPr>
          <w:p>
            <w:pPr>
              <w:rPr>
                <w:lang w:eastAsia="ja-JP"/>
              </w:rPr>
            </w:pPr>
          </w:p>
        </w:tc>
        <w:tc>
          <w:tcPr>
            <w:tcW w:w="571" w:type="dxa"/>
            <w:vAlign w:val="center"/>
          </w:tcPr>
          <w:p>
            <w:pPr>
              <w:rPr>
                <w:lang w:eastAsia="ja-JP"/>
              </w:rPr>
            </w:pPr>
          </w:p>
        </w:tc>
        <w:tc>
          <w:tcPr>
            <w:tcW w:w="2531" w:type="dxa"/>
            <w:vAlign w:val="center"/>
          </w:tcPr>
          <w:p>
            <w:pPr>
              <w:rPr>
                <w:lang w:eastAsia="ja-JP"/>
              </w:rPr>
            </w:pPr>
          </w:p>
        </w:tc>
        <w:tc>
          <w:tcPr>
            <w:tcW w:w="941"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2018-N1EMS-1222792</w:t>
            </w:r>
          </w:p>
        </w:tc>
        <w:tc>
          <w:tcPr>
            <w:tcW w:w="2179" w:type="dxa"/>
            <w:vAlign w:val="center"/>
          </w:tcPr>
          <w:p>
            <w:r>
              <w:t>17.10.02,18.01.05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t>汽车变速箱用轴、齿轮等产品的锻造和机械加工及相关环境管理活动</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vertAlign w:val="baseline"/>
                <w:lang w:val="en-US" w:eastAsia="zh-CN"/>
              </w:rPr>
              <w:drawing>
                <wp:anchor distT="0" distB="0" distL="114300" distR="114300" simplePos="0" relativeHeight="251659264" behindDoc="0" locked="0" layoutInCell="1" allowOverlap="1">
                  <wp:simplePos x="0" y="0"/>
                  <wp:positionH relativeFrom="column">
                    <wp:posOffset>311150</wp:posOffset>
                  </wp:positionH>
                  <wp:positionV relativeFrom="paragraph">
                    <wp:posOffset>4445</wp:posOffset>
                  </wp:positionV>
                  <wp:extent cx="432435" cy="332105"/>
                  <wp:effectExtent l="0" t="0" r="12065" b="10795"/>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32435" cy="332105"/>
                          </a:xfrm>
                          <a:prstGeom prst="rect">
                            <a:avLst/>
                          </a:prstGeom>
                        </pic:spPr>
                      </pic:pic>
                    </a:graphicData>
                  </a:graphic>
                </wp:anchor>
              </w:drawing>
            </w:r>
          </w:p>
          <w:p>
            <w:pPr>
              <w:pStyle w:val="2"/>
            </w:pPr>
          </w:p>
          <w:p>
            <w:pPr>
              <w:pStyle w:val="2"/>
            </w:pPr>
          </w:p>
          <w:p>
            <w:pPr>
              <w:pStyle w:val="2"/>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2021.10.31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w:t>
            </w:r>
            <w:r>
              <w:rPr>
                <w:rFonts w:hint="eastAsia"/>
                <w:lang w:eastAsia="zh-CN"/>
              </w:rPr>
              <w:t>☑</w:t>
            </w:r>
            <w:r>
              <w:rPr>
                <w:rFonts w:hint="eastAsia"/>
              </w:rPr>
              <w:t>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lang w:eastAsia="zh-CN"/>
              </w:rPr>
              <w:t>☑</w:t>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w:t>
            </w:r>
            <w:r>
              <w:rPr>
                <w:rFonts w:hint="eastAsia"/>
                <w:lang w:eastAsia="zh-CN"/>
              </w:rPr>
              <w:t>☑</w:t>
            </w:r>
            <w:r>
              <w:rPr>
                <w:rFonts w:hint="eastAsia"/>
              </w:rPr>
              <w:t>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360" w:lineRule="auto"/>
              <w:ind w:firstLine="420" w:firstLineChars="200"/>
              <w:rPr>
                <w:u w:val="single"/>
              </w:rPr>
            </w:pPr>
            <w:r>
              <w:rPr>
                <w:rFonts w:hint="eastAsia" w:ascii="宋体" w:hAnsi="宋体" w:eastAsia="宋体" w:cs="宋体"/>
                <w:sz w:val="21"/>
                <w:szCs w:val="21"/>
              </w:rPr>
              <w:t>节约资源、保护环境、遵纪守法、持续改进。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来自当地环保部门的监察</w:t>
                  </w:r>
                </w:p>
              </w:tc>
              <w:tc>
                <w:tcPr>
                  <w:tcW w:w="3965" w:type="dxa"/>
                  <w:vAlign w:val="top"/>
                </w:tcPr>
                <w:p>
                  <w:pPr>
                    <w:shd w:val="clear" w:color="auto" w:fill="EBF1DE" w:themeFill="accent3" w:themeFillTint="32"/>
                  </w:pPr>
                  <w:r>
                    <w:rPr>
                      <w:rFonts w:hint="eastAsia"/>
                      <w:lang w:val="en-US" w:eastAsia="zh-CN"/>
                    </w:rPr>
                    <w:t>合规合法经营</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污染物超标排放</w:t>
                  </w:r>
                </w:p>
              </w:tc>
              <w:tc>
                <w:tcPr>
                  <w:tcW w:w="3965" w:type="dxa"/>
                  <w:vAlign w:val="top"/>
                </w:tcPr>
                <w:p>
                  <w:pPr>
                    <w:shd w:val="clear" w:color="auto" w:fill="EBF1DE" w:themeFill="accent3" w:themeFillTint="32"/>
                  </w:pPr>
                  <w:r>
                    <w:rPr>
                      <w:rFonts w:hint="eastAsia"/>
                      <w:lang w:val="en-US" w:eastAsia="zh-CN"/>
                    </w:rPr>
                    <w:t>环保设备正常运行</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危险废弃物未按照要求处置</w:t>
                  </w:r>
                </w:p>
              </w:tc>
              <w:tc>
                <w:tcPr>
                  <w:tcW w:w="3965" w:type="dxa"/>
                  <w:vAlign w:val="top"/>
                </w:tcPr>
                <w:p>
                  <w:pPr>
                    <w:shd w:val="clear" w:color="auto" w:fill="EBF1DE" w:themeFill="accent3" w:themeFillTint="32"/>
                  </w:pPr>
                  <w:r>
                    <w:rPr>
                      <w:rFonts w:hint="eastAsia"/>
                      <w:lang w:val="en-US" w:eastAsia="zh-CN"/>
                    </w:rPr>
                    <w:t>交由有资质的处理单位统一处理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w:t>
            </w:r>
            <w:r>
              <w:rPr>
                <w:rFonts w:hint="eastAsia"/>
                <w:lang w:eastAsia="zh-CN"/>
              </w:rPr>
              <w:t>☑</w:t>
            </w:r>
            <w:r>
              <w:rPr>
                <w:rFonts w:hint="eastAsia"/>
              </w:rPr>
              <w:t>废水排放</w:t>
            </w:r>
            <w:r>
              <w:rPr>
                <w:rFonts w:hint="eastAsia"/>
                <w:lang w:eastAsia="zh-CN"/>
              </w:rPr>
              <w:t>☑</w:t>
            </w:r>
            <w:r>
              <w:rPr>
                <w:rFonts w:hint="eastAsia"/>
              </w:rPr>
              <w:t>废气排放</w:t>
            </w:r>
            <w:r>
              <w:rPr>
                <w:rFonts w:hint="eastAsia"/>
                <w:lang w:eastAsia="zh-CN"/>
              </w:rPr>
              <w:t>□</w:t>
            </w:r>
            <w:r>
              <w:rPr>
                <w:rFonts w:hint="eastAsia"/>
              </w:rPr>
              <w:t>粉尘排放</w:t>
            </w:r>
            <w:r>
              <w:rPr>
                <w:rFonts w:hint="eastAsia"/>
                <w:lang w:eastAsia="zh-CN"/>
              </w:rPr>
              <w:t>☑</w:t>
            </w:r>
            <w:r>
              <w:rPr>
                <w:rFonts w:hint="eastAsia"/>
              </w:rPr>
              <w:t>危废排放</w:t>
            </w:r>
            <w:r>
              <w:rPr>
                <w:rFonts w:hint="eastAsia"/>
                <w:lang w:eastAsia="zh-CN"/>
              </w:rPr>
              <w:t>☑</w:t>
            </w:r>
            <w:r>
              <w:rPr>
                <w:rFonts w:hint="eastAsia"/>
              </w:rPr>
              <w:t>噪声排放</w:t>
            </w:r>
            <w:r>
              <w:rPr>
                <w:rFonts w:hint="eastAsia"/>
                <w:lang w:eastAsia="zh-CN"/>
              </w:rPr>
              <w:t>□</w:t>
            </w:r>
            <w:r>
              <w:rPr>
                <w:rFonts w:hint="eastAsia"/>
              </w:rPr>
              <w:t>危化品泄露</w:t>
            </w:r>
            <w:r>
              <w:rPr>
                <w:rFonts w:hint="eastAsia"/>
                <w:lang w:eastAsia="zh-CN"/>
              </w:rPr>
              <w:t>□</w:t>
            </w:r>
            <w:r>
              <w:rPr>
                <w:rFonts w:hint="eastAsia"/>
              </w:rPr>
              <w:t>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eastAsia="宋体"/>
                <w:lang w:val="en-US" w:eastAsia="zh-CN"/>
              </w:rPr>
            </w:pPr>
            <w:r>
              <w:rPr>
                <w:rFonts w:hint="eastAsia"/>
              </w:rPr>
              <w:t>□排污许可证编号：</w:t>
            </w:r>
            <w:r>
              <w:rPr>
                <w:rFonts w:hint="eastAsia"/>
                <w:lang w:val="en-US" w:eastAsia="zh-CN"/>
              </w:rPr>
              <w:t>DSZ6779677</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t>□环境影响报告表日期：</w:t>
            </w:r>
            <w:r>
              <w:rPr>
                <w:rFonts w:hint="eastAsia"/>
                <w:lang w:val="en-US" w:eastAsia="zh-CN"/>
              </w:rPr>
              <w:t>2020.6.30</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4"/>
              <w:gridCol w:w="2350"/>
              <w:gridCol w:w="112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35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23"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4" w:type="dxa"/>
                  <w:shd w:val="clear" w:color="auto" w:fill="auto"/>
                  <w:vAlign w:val="center"/>
                </w:tcPr>
                <w:p>
                  <w:pPr>
                    <w:spacing w:line="400" w:lineRule="exact"/>
                  </w:pPr>
                  <w:r>
                    <w:rPr>
                      <w:rFonts w:hint="eastAsia" w:ascii="宋体" w:hAnsi="宋体"/>
                      <w:color w:val="000000"/>
                      <w:sz w:val="22"/>
                      <w:szCs w:val="22"/>
                    </w:rPr>
                    <w:t>环境影响投诉次数为零</w:t>
                  </w:r>
                </w:p>
              </w:tc>
              <w:tc>
                <w:tcPr>
                  <w:tcW w:w="2350" w:type="dxa"/>
                  <w:shd w:val="clear" w:color="auto" w:fill="auto"/>
                  <w:vAlign w:val="center"/>
                </w:tcPr>
                <w:p>
                  <w:pPr>
                    <w:shd w:val="clear" w:color="auto" w:fill="EBF1DE" w:themeFill="accent3" w:themeFillTint="32"/>
                    <w:rPr>
                      <w:lang w:val="en-GB"/>
                    </w:rPr>
                  </w:pPr>
                  <w:r>
                    <w:rPr>
                      <w:rFonts w:hint="eastAsia"/>
                      <w:lang w:val="en-GB"/>
                    </w:rPr>
                    <w:t>建立安全环保检查制度</w:t>
                  </w:r>
                </w:p>
              </w:tc>
              <w:tc>
                <w:tcPr>
                  <w:tcW w:w="1123" w:type="dxa"/>
                  <w:shd w:val="clear" w:color="auto" w:fill="auto"/>
                  <w:vAlign w:val="center"/>
                </w:tcPr>
                <w:p>
                  <w:pPr>
                    <w:shd w:val="clear" w:color="auto" w:fill="EBF1DE" w:themeFill="accent3" w:themeFillTint="32"/>
                    <w:rPr>
                      <w:lang w:val="en-GB"/>
                    </w:rPr>
                  </w:pPr>
                  <w:r>
                    <w:rPr>
                      <w:rFonts w:hint="eastAsia"/>
                      <w:color w:val="auto"/>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4" w:type="dxa"/>
                  <w:shd w:val="clear" w:color="auto" w:fill="auto"/>
                  <w:vAlign w:val="center"/>
                </w:tcPr>
                <w:p>
                  <w:pPr>
                    <w:spacing w:line="400" w:lineRule="exact"/>
                  </w:pPr>
                  <w:r>
                    <w:rPr>
                      <w:rFonts w:hint="eastAsia" w:ascii="宋体" w:hAnsi="宋体"/>
                      <w:color w:val="000000"/>
                      <w:sz w:val="22"/>
                      <w:szCs w:val="22"/>
                    </w:rPr>
                    <w:t>固体废弃物有效处理率为100%</w:t>
                  </w:r>
                </w:p>
              </w:tc>
              <w:tc>
                <w:tcPr>
                  <w:tcW w:w="2350" w:type="dxa"/>
                  <w:shd w:val="clear" w:color="auto" w:fill="auto"/>
                  <w:vAlign w:val="center"/>
                </w:tcPr>
                <w:p>
                  <w:pPr>
                    <w:shd w:val="clear" w:color="auto" w:fill="EBF1DE" w:themeFill="accent3" w:themeFillTint="32"/>
                    <w:rPr>
                      <w:rFonts w:ascii="宋体" w:hAnsi="宋体"/>
                    </w:rPr>
                  </w:pPr>
                  <w:r>
                    <w:rPr>
                      <w:rFonts w:hint="eastAsia" w:ascii="宋体" w:hAnsi="宋体"/>
                      <w:color w:val="auto"/>
                      <w:lang w:val="en-US" w:eastAsia="zh-CN"/>
                    </w:rPr>
                    <w:t>加强废弃物有效处理</w:t>
                  </w:r>
                </w:p>
              </w:tc>
              <w:tc>
                <w:tcPr>
                  <w:tcW w:w="1123" w:type="dxa"/>
                  <w:shd w:val="clear" w:color="auto" w:fill="auto"/>
                  <w:vAlign w:val="center"/>
                </w:tcPr>
                <w:p>
                  <w:pPr>
                    <w:shd w:val="clear" w:color="auto" w:fill="EBF1DE" w:themeFill="accent3" w:themeFillTint="32"/>
                    <w:rPr>
                      <w:rFonts w:ascii="宋体" w:hAnsi="宋体"/>
                    </w:rPr>
                  </w:pPr>
                  <w:r>
                    <w:rPr>
                      <w:rFonts w:hint="eastAsia"/>
                      <w:color w:val="auto"/>
                      <w:lang w:val="en-US" w:eastAsia="zh-CN"/>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4" w:type="dxa"/>
                  <w:shd w:val="clear" w:color="auto" w:fill="auto"/>
                  <w:vAlign w:val="center"/>
                </w:tcPr>
                <w:p>
                  <w:pPr>
                    <w:tabs>
                      <w:tab w:val="left" w:pos="700"/>
                    </w:tabs>
                    <w:spacing w:line="400" w:lineRule="exact"/>
                  </w:pPr>
                  <w:r>
                    <w:rPr>
                      <w:rFonts w:hint="eastAsia" w:ascii="宋体" w:hAnsi="宋体"/>
                      <w:color w:val="000000"/>
                      <w:sz w:val="22"/>
                      <w:szCs w:val="22"/>
                    </w:rPr>
                    <w:t>火灾事故次数为零</w:t>
                  </w:r>
                </w:p>
              </w:tc>
              <w:tc>
                <w:tcPr>
                  <w:tcW w:w="2350" w:type="dxa"/>
                  <w:shd w:val="clear" w:color="auto" w:fill="auto"/>
                  <w:vAlign w:val="center"/>
                </w:tcPr>
                <w:p>
                  <w:pPr>
                    <w:shd w:val="clear" w:color="auto" w:fill="EBF1DE" w:themeFill="accent3" w:themeFillTint="32"/>
                    <w:rPr>
                      <w:rFonts w:ascii="宋体" w:hAnsi="宋体"/>
                    </w:rPr>
                  </w:pPr>
                  <w:r>
                    <w:rPr>
                      <w:rFonts w:hint="eastAsia" w:ascii="宋体" w:hAnsi="宋体"/>
                      <w:color w:val="auto"/>
                      <w:lang w:val="en-US" w:eastAsia="zh-CN"/>
                    </w:rPr>
                    <w:t>加强人员安全消防意识，及消防设施的检查</w:t>
                  </w:r>
                </w:p>
              </w:tc>
              <w:tc>
                <w:tcPr>
                  <w:tcW w:w="1123" w:type="dxa"/>
                  <w:shd w:val="clear" w:color="auto" w:fill="auto"/>
                  <w:vAlign w:val="center"/>
                </w:tcPr>
                <w:p>
                  <w:pPr>
                    <w:shd w:val="clear" w:color="auto" w:fill="EBF1DE" w:themeFill="accent3" w:themeFillTint="32"/>
                    <w:rPr>
                      <w:rFonts w:ascii="宋体" w:hAnsi="宋体"/>
                    </w:rPr>
                  </w:pPr>
                  <w:r>
                    <w:rPr>
                      <w:rFonts w:hint="eastAsia"/>
                      <w:color w:val="auto"/>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4" w:type="dxa"/>
                  <w:shd w:val="clear" w:color="auto" w:fill="auto"/>
                  <w:vAlign w:val="center"/>
                </w:tcPr>
                <w:p>
                  <w:pPr>
                    <w:spacing w:line="400" w:lineRule="exact"/>
                  </w:pPr>
                  <w:r>
                    <w:rPr>
                      <w:rFonts w:ascii="宋体" w:hAnsi="宋体"/>
                      <w:color w:val="000000"/>
                      <w:sz w:val="22"/>
                      <w:szCs w:val="22"/>
                    </w:rPr>
                    <w:t>无重大环境污染事故</w:t>
                  </w:r>
                </w:p>
              </w:tc>
              <w:tc>
                <w:tcPr>
                  <w:tcW w:w="2350" w:type="dxa"/>
                  <w:shd w:val="clear" w:color="auto" w:fill="auto"/>
                  <w:vAlign w:val="center"/>
                </w:tcPr>
                <w:p>
                  <w:pPr>
                    <w:shd w:val="clear" w:color="auto" w:fill="EBF1DE" w:themeFill="accent3" w:themeFillTint="32"/>
                    <w:rPr>
                      <w:rFonts w:ascii="宋体" w:hAnsi="宋体"/>
                    </w:rPr>
                  </w:pPr>
                  <w:r>
                    <w:rPr>
                      <w:rFonts w:hint="eastAsia"/>
                      <w:color w:val="auto"/>
                      <w:lang w:val="en-US" w:eastAsia="zh-CN"/>
                    </w:rPr>
                    <w:t>加强环保设备的日常管理</w:t>
                  </w:r>
                </w:p>
              </w:tc>
              <w:tc>
                <w:tcPr>
                  <w:tcW w:w="1123"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8133.4</w:t>
            </w:r>
            <w:r>
              <w:rPr>
                <w:rFonts w:hint="eastAsia"/>
              </w:rPr>
              <w:t>平方米；生产车间</w:t>
            </w:r>
            <w:r>
              <w:rPr>
                <w:rFonts w:hint="eastAsia"/>
                <w:lang w:val="en-US" w:eastAsia="zh-CN"/>
              </w:rPr>
              <w:t>3</w:t>
            </w:r>
            <w:r>
              <w:rPr>
                <w:rFonts w:hint="eastAsia"/>
              </w:rPr>
              <w:t>个；库房</w:t>
            </w:r>
            <w:r>
              <w:rPr>
                <w:rFonts w:hint="eastAsia"/>
                <w:lang w:val="en-US" w:eastAsia="zh-CN"/>
              </w:rPr>
              <w:t>2</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default" w:eastAsia="宋体"/>
                <w:u w:val="single"/>
                <w:lang w:val="en-US" w:eastAsia="zh-CN"/>
              </w:rPr>
            </w:pPr>
            <w:r>
              <w:rPr>
                <w:rFonts w:hint="eastAsia"/>
              </w:rPr>
              <w:t>主要生产设备有：</w:t>
            </w:r>
            <w:r>
              <w:rPr>
                <w:rFonts w:hint="eastAsia"/>
                <w:u w:val="single"/>
                <w:lang w:val="en-US" w:eastAsia="zh-CN"/>
              </w:rPr>
              <w:t>电动螺旋压力机、中频炉、抛丸机、数控车床、圆锯机</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布袋除尘器、移动式烟尘净化器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rFonts w:hint="default" w:eastAsia="宋体"/>
                <w:u w:val="single"/>
                <w:lang w:val="en-US" w:eastAsia="zh-CN"/>
              </w:rPr>
            </w:pPr>
            <w:r>
              <w:rPr>
                <w:rFonts w:hint="eastAsia"/>
              </w:rPr>
              <w:t>环境监测的计量器具有：</w:t>
            </w:r>
            <w:r>
              <w:rPr>
                <w:rFonts w:hint="eastAsia"/>
                <w:u w:val="single"/>
                <w:lang w:val="en-US" w:eastAsia="zh-CN"/>
              </w:rPr>
              <w:t>热电偶、温度调节仪、深度游标卡尺、偏摆仪</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5800"/>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重要环境因素</w:t>
                  </w:r>
                </w:p>
              </w:tc>
              <w:tc>
                <w:tcPr>
                  <w:tcW w:w="5800" w:type="dxa"/>
                </w:tcPr>
                <w:p>
                  <w:pPr>
                    <w:shd w:val="clear" w:color="auto" w:fill="EBF1DE" w:themeFill="accent3" w:themeFillTint="32"/>
                    <w:jc w:val="left"/>
                  </w:pPr>
                  <w:r>
                    <w:rPr>
                      <w:rFonts w:hint="eastAsia"/>
                    </w:rPr>
                    <w:t>控制措施</w:t>
                  </w:r>
                </w:p>
              </w:tc>
              <w:tc>
                <w:tcPr>
                  <w:tcW w:w="1128"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能源消耗</w:t>
                  </w:r>
                </w:p>
              </w:tc>
              <w:tc>
                <w:tcPr>
                  <w:tcW w:w="5800" w:type="dxa"/>
                </w:tcPr>
                <w:p>
                  <w:pPr>
                    <w:shd w:val="clear" w:color="auto" w:fill="EBF1DE" w:themeFill="accent3" w:themeFillTint="32"/>
                    <w:jc w:val="left"/>
                  </w:pPr>
                  <w:r>
                    <w:rPr>
                      <w:rFonts w:hint="eastAsia" w:ascii="宋体" w:hAnsi="宋体" w:eastAsia="宋体" w:cs="宋体"/>
                      <w:sz w:val="21"/>
                      <w:szCs w:val="21"/>
                    </w:rPr>
                    <w:t>生产过程注意节水、节电、节钢材，人走关闭设备和照明开关，</w:t>
                  </w:r>
                </w:p>
              </w:tc>
              <w:tc>
                <w:tcPr>
                  <w:tcW w:w="1128"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资源消耗</w:t>
                  </w:r>
                </w:p>
              </w:tc>
              <w:tc>
                <w:tcPr>
                  <w:tcW w:w="5800"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原材料的消耗，优化生产工艺，减少浪费。</w:t>
                  </w:r>
                </w:p>
              </w:tc>
              <w:tc>
                <w:tcPr>
                  <w:tcW w:w="1128"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废水排放</w:t>
                  </w:r>
                </w:p>
              </w:tc>
              <w:tc>
                <w:tcPr>
                  <w:tcW w:w="5800" w:type="dxa"/>
                </w:tcPr>
                <w:p>
                  <w:pPr>
                    <w:shd w:val="clear" w:color="auto" w:fill="EBF1DE" w:themeFill="accent3" w:themeFillTint="32"/>
                    <w:jc w:val="left"/>
                  </w:pPr>
                  <w:r>
                    <w:rPr>
                      <w:rFonts w:hint="eastAsia" w:ascii="宋体" w:hAnsi="宋体" w:cs="宋体"/>
                      <w:sz w:val="21"/>
                      <w:szCs w:val="21"/>
                      <w:lang w:val="en-US" w:eastAsia="zh-CN"/>
                    </w:rPr>
                    <w:t>企业</w:t>
                  </w:r>
                  <w:r>
                    <w:rPr>
                      <w:rFonts w:hint="eastAsia" w:ascii="宋体" w:hAnsi="宋体" w:eastAsia="宋体" w:cs="宋体"/>
                      <w:sz w:val="21"/>
                      <w:szCs w:val="21"/>
                    </w:rPr>
                    <w:t>产生的生产废水，循环利用，不外排</w:t>
                  </w:r>
                  <w:r>
                    <w:rPr>
                      <w:rFonts w:hint="eastAsia" w:ascii="宋体" w:hAnsi="宋体" w:cs="宋体"/>
                      <w:sz w:val="21"/>
                      <w:szCs w:val="21"/>
                      <w:lang w:eastAsia="zh-CN"/>
                    </w:rPr>
                    <w:t>；</w:t>
                  </w:r>
                  <w:r>
                    <w:rPr>
                      <w:rFonts w:hint="eastAsia" w:ascii="宋体" w:hAnsi="宋体" w:eastAsia="宋体" w:cs="宋体"/>
                      <w:sz w:val="21"/>
                      <w:szCs w:val="21"/>
                    </w:rPr>
                    <w:t>生活污水排入化粪池，定期清掏</w:t>
                  </w:r>
                </w:p>
              </w:tc>
              <w:tc>
                <w:tcPr>
                  <w:tcW w:w="1128"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废气排放</w:t>
                  </w:r>
                </w:p>
              </w:tc>
              <w:tc>
                <w:tcPr>
                  <w:tcW w:w="5800" w:type="dxa"/>
                </w:tcPr>
                <w:p>
                  <w:pPr>
                    <w:shd w:val="clear" w:color="auto" w:fill="EBF1DE" w:themeFill="accent3" w:themeFillTint="32"/>
                    <w:jc w:val="left"/>
                  </w:pPr>
                  <w:r>
                    <w:rPr>
                      <w:rFonts w:hint="eastAsia" w:ascii="宋体" w:hAnsi="宋体" w:eastAsia="宋体" w:cs="宋体"/>
                      <w:sz w:val="21"/>
                      <w:szCs w:val="21"/>
                    </w:rPr>
                    <w:t>2台抛丸机产生的抛丸粉尘每台抛丸机自带的布袋除尘器处理后，经各自15m高排气简排放。</w:t>
                  </w:r>
                </w:p>
              </w:tc>
              <w:tc>
                <w:tcPr>
                  <w:tcW w:w="1128"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噪声排放</w:t>
                  </w:r>
                </w:p>
              </w:tc>
              <w:tc>
                <w:tcPr>
                  <w:tcW w:w="5800" w:type="dxa"/>
                </w:tcPr>
                <w:p>
                  <w:pPr>
                    <w:shd w:val="clear" w:color="auto" w:fill="EBF1DE" w:themeFill="accent3" w:themeFillTint="32"/>
                    <w:jc w:val="left"/>
                  </w:pPr>
                  <w:r>
                    <w:rPr>
                      <w:rFonts w:hint="eastAsia" w:ascii="宋体" w:hAnsi="宋体" w:eastAsia="宋体" w:cs="宋体"/>
                      <w:sz w:val="21"/>
                      <w:szCs w:val="21"/>
                    </w:rPr>
                    <w:t>采取厂房内操作和选用低噪声的设备和工具并做消声和减振处理，同时加强设备的检查和维保，确保机械设备在正常工况下运行，经噪声监测达标排放。</w:t>
                  </w:r>
                </w:p>
              </w:tc>
              <w:tc>
                <w:tcPr>
                  <w:tcW w:w="1128"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固废排放</w:t>
                  </w:r>
                </w:p>
              </w:tc>
              <w:tc>
                <w:tcPr>
                  <w:tcW w:w="5800" w:type="dxa"/>
                </w:tcPr>
                <w:p>
                  <w:pPr>
                    <w:shd w:val="clear" w:color="auto" w:fill="EBF1DE" w:themeFill="accent3" w:themeFillTint="32"/>
                    <w:jc w:val="left"/>
                  </w:pPr>
                  <w:r>
                    <w:rPr>
                      <w:rFonts w:hint="eastAsia" w:ascii="宋体" w:hAnsi="宋体" w:eastAsia="宋体" w:cs="宋体"/>
                      <w:sz w:val="21"/>
                      <w:szCs w:val="21"/>
                    </w:rPr>
                    <w:t>废金属屑及边角料经厂区内收集后外售至物资回收公司;废次品经厂区内收集后外售至物资回收公司;废机油、废液压油、废磨削液、废乳化液及废包装桶经厂区内集中收集后委托有危险废物处理资质的单位进行处理:收集粉尘经厂区内收集后外售至物资回收公司:员工生活垃圾经厂区内集中收集后由当地环卫部门统一清运。</w:t>
                  </w:r>
                </w:p>
              </w:tc>
              <w:tc>
                <w:tcPr>
                  <w:tcW w:w="1128"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粉尘排放</w:t>
                  </w:r>
                </w:p>
              </w:tc>
              <w:tc>
                <w:tcPr>
                  <w:tcW w:w="5800" w:type="dxa"/>
                </w:tcPr>
                <w:p>
                  <w:pPr>
                    <w:shd w:val="clear" w:color="auto" w:fill="EBF1DE" w:themeFill="accent3" w:themeFillTint="32"/>
                    <w:jc w:val="left"/>
                  </w:pPr>
                  <w:r>
                    <w:rPr>
                      <w:rFonts w:hint="eastAsia" w:cs="Times New Roman"/>
                      <w:kern w:val="2"/>
                      <w:sz w:val="21"/>
                      <w:szCs w:val="24"/>
                      <w:lang w:val="en-US" w:eastAsia="zh-CN" w:bidi="ar-SA"/>
                    </w:rPr>
                    <w:t>布袋除尘收集设施</w:t>
                  </w:r>
                </w:p>
              </w:tc>
              <w:tc>
                <w:tcPr>
                  <w:tcW w:w="1128"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火灾</w:t>
                  </w:r>
                </w:p>
              </w:tc>
              <w:tc>
                <w:tcPr>
                  <w:tcW w:w="5800" w:type="dxa"/>
                </w:tcPr>
                <w:p>
                  <w:pPr>
                    <w:shd w:val="clear" w:color="auto" w:fill="EBF1DE" w:themeFill="accent3" w:themeFillTint="32"/>
                    <w:jc w:val="left"/>
                  </w:pPr>
                  <w:r>
                    <w:rPr>
                      <w:rFonts w:hint="eastAsia"/>
                      <w:szCs w:val="22"/>
                    </w:rPr>
                    <w:t>公司生产车间和办公区域配备了灭火器</w:t>
                  </w:r>
                </w:p>
              </w:tc>
              <w:tc>
                <w:tcPr>
                  <w:tcW w:w="1128" w:type="dxa"/>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4" w:type="dxa"/>
                </w:tcPr>
                <w:p>
                  <w:pPr>
                    <w:shd w:val="clear" w:color="auto" w:fill="EBF1DE" w:themeFill="accent3" w:themeFillTint="32"/>
                    <w:jc w:val="left"/>
                  </w:pPr>
                  <w:r>
                    <w:rPr>
                      <w:rFonts w:hint="eastAsia"/>
                    </w:rPr>
                    <w:t>其他</w:t>
                  </w:r>
                </w:p>
              </w:tc>
              <w:tc>
                <w:tcPr>
                  <w:tcW w:w="5800" w:type="dxa"/>
                </w:tcPr>
                <w:p>
                  <w:pPr>
                    <w:shd w:val="clear" w:color="auto" w:fill="EBF1DE" w:themeFill="accent3" w:themeFillTint="32"/>
                    <w:jc w:val="left"/>
                  </w:pPr>
                </w:p>
              </w:tc>
              <w:tc>
                <w:tcPr>
                  <w:tcW w:w="1128"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1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lang w:val="en-US" w:eastAsia="zh-CN"/>
              </w:rPr>
              <w:t>叉车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日进行了的</w:t>
            </w:r>
            <w:r>
              <w:rPr>
                <w:rFonts w:hint="eastAsia"/>
                <w:lang w:val="en-US" w:eastAsia="zh-CN"/>
              </w:rPr>
              <w:t xml:space="preserve"> </w:t>
            </w:r>
            <w:r>
              <w:rPr>
                <w:rFonts w:hint="eastAsia"/>
                <w:u w:val="single"/>
                <w:lang w:val="en-US" w:eastAsia="zh-CN"/>
              </w:rPr>
              <w:t>应急消防</w:t>
            </w:r>
            <w:r>
              <w:rPr>
                <w:rFonts w:hint="eastAsia"/>
                <w:u w:val="single"/>
              </w:rPr>
              <w:t xml:space="preserve"> </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定期（每年）：2021年07月05日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szCs w:val="22"/>
                <w:u w:val="single"/>
                <w:lang w:val="en-US" w:eastAsia="zh-CN"/>
              </w:rPr>
              <w:t>泰景蓝</w:t>
            </w:r>
            <w:r>
              <w:rPr>
                <w:rFonts w:hint="eastAsia"/>
                <w:szCs w:val="22"/>
                <w:u w:val="single"/>
              </w:rPr>
              <w:t>［</w:t>
            </w:r>
            <w:r>
              <w:rPr>
                <w:rFonts w:hint="eastAsia"/>
                <w:szCs w:val="22"/>
                <w:u w:val="single"/>
                <w:lang w:val="en-US" w:eastAsia="zh-CN"/>
              </w:rPr>
              <w:t>验</w:t>
            </w:r>
            <w:r>
              <w:rPr>
                <w:rFonts w:hint="eastAsia"/>
                <w:szCs w:val="22"/>
                <w:u w:val="single"/>
              </w:rPr>
              <w:t>］字（</w:t>
            </w:r>
            <w:r>
              <w:rPr>
                <w:rFonts w:hint="eastAsia"/>
                <w:szCs w:val="22"/>
                <w:u w:val="single"/>
                <w:lang w:val="en-US" w:eastAsia="zh-CN"/>
              </w:rPr>
              <w:t>2021</w:t>
            </w:r>
            <w:r>
              <w:rPr>
                <w:rFonts w:hint="eastAsia"/>
                <w:szCs w:val="22"/>
                <w:u w:val="single"/>
              </w:rPr>
              <w:t>）第</w:t>
            </w:r>
            <w:r>
              <w:rPr>
                <w:rFonts w:hint="eastAsia"/>
                <w:szCs w:val="22"/>
                <w:u w:val="single"/>
                <w:lang w:val="en-US" w:eastAsia="zh-CN"/>
              </w:rPr>
              <w:t>038</w:t>
            </w:r>
            <w:r>
              <w:rPr>
                <w:rFonts w:hint="eastAsia"/>
                <w:szCs w:val="22"/>
                <w:u w:val="single"/>
              </w:rPr>
              <w:t>号</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szCs w:val="22"/>
              </w:rPr>
              <w:t>2021</w:t>
            </w:r>
            <w:r>
              <w:rPr>
                <w:rFonts w:hint="eastAsia"/>
              </w:rPr>
              <w:t>年</w:t>
            </w:r>
            <w:r>
              <w:rPr>
                <w:rFonts w:hint="eastAsia"/>
                <w:lang w:val="en-US" w:eastAsia="zh-CN"/>
              </w:rPr>
              <w:t>7</w:t>
            </w:r>
            <w:r>
              <w:rPr>
                <w:rFonts w:hint="eastAsia"/>
              </w:rPr>
              <w:t>月</w:t>
            </w:r>
            <w:r>
              <w:rPr>
                <w:rFonts w:hint="eastAsia"/>
                <w:lang w:val="en-US" w:eastAsia="zh-CN"/>
              </w:rPr>
              <w:t>26-27</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w:t>
            </w:r>
            <w:r>
              <w:rPr>
                <w:rFonts w:hint="eastAsia" w:ascii="Times New Roman" w:hAnsi="Times New Roman" w:eastAsia="宋体" w:cs="Times New Roman"/>
              </w:rPr>
              <w:t>在2021年</w:t>
            </w:r>
            <w:r>
              <w:rPr>
                <w:rFonts w:hint="eastAsia" w:ascii="Times New Roman" w:hAnsi="Times New Roman" w:eastAsia="宋体" w:cs="Times New Roman"/>
                <w:lang w:val="en-US" w:eastAsia="zh-CN"/>
              </w:rPr>
              <w:t>8</w:t>
            </w:r>
            <w:r>
              <w:rPr>
                <w:rFonts w:hint="eastAsia" w:ascii="Times New Roman" w:hAnsi="Times New Roman" w:eastAsia="宋体" w:cs="Times New Roman"/>
              </w:rPr>
              <w:t>月</w:t>
            </w:r>
            <w:r>
              <w:rPr>
                <w:rFonts w:hint="eastAsia" w:ascii="Times New Roman" w:hAnsi="Times New Roman" w:eastAsia="宋体" w:cs="Times New Roman"/>
                <w:lang w:val="en-US" w:eastAsia="zh-CN"/>
              </w:rPr>
              <w:t>16</w:t>
            </w:r>
            <w:r>
              <w:rPr>
                <w:rFonts w:hint="eastAsia" w:ascii="Times New Roman" w:hAnsi="Times New Roman" w:eastAsia="宋体" w:cs="Times New Roman"/>
              </w:rPr>
              <w:t>日对</w:t>
            </w:r>
            <w:r>
              <w:rPr>
                <w:rFonts w:hint="eastAsia"/>
              </w:rPr>
              <w:t>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jc w:val="center"/>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jc w:val="center"/>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jc w:val="center"/>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jc w:val="center"/>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jc w:val="center"/>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79"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79"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79"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jc w:val="center"/>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jc w:val="center"/>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jc w:val="center"/>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jc w:val="center"/>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jc w:val="center"/>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7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jc w:val="center"/>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79"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79"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79"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c>
          <w:tcPr>
            <w:tcW w:w="780" w:type="dxa"/>
            <w:shd w:val="clear" w:color="auto" w:fill="EBF1DE" w:themeFill="accent3" w:themeFillTint="32"/>
            <w:vAlign w:val="center"/>
          </w:tcPr>
          <w:p>
            <w:pPr>
              <w:shd w:val="clear" w:color="auto" w:fill="EBF1DE" w:themeFill="accent3" w:themeFillTint="32"/>
              <w:jc w:val="center"/>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49C7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2</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2021-10-31T03:58:44Z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