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239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宝鸡市陈仓区东升锻造厂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陕西省宝鸡市高新开发区钓渭镇西崖村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陕西省宝鸡市高新开发区钓渭镇西崖村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尚铁娃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13038492993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0154-2019-M/0490-2019-E-2021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spacing w:line="360" w:lineRule="auto"/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监督审核：评价组织管理体系的持续符合性和有效性，以确定是否推荐保持认证证书。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汽车变速箱用轴、齿轮等产品的锻造和机械加工及相关环境管理活动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17.10.02;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18.01.05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2021年10月30日 下午至2021年10月31日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李俐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2018-N1EMS-1222792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17.10.02,18.01.05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13709207775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4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6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469" w:type="dxa"/>
            <w:gridSpan w:val="4"/>
            <w:vAlign w:val="center"/>
          </w:tcPr>
          <w:p/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469" w:type="dxa"/>
            <w:gridSpan w:val="4"/>
            <w:vAlign w:val="center"/>
          </w:tcPr>
          <w:p/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1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1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3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1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>
      <w:bookmarkStart w:id="32" w:name="_GoBack"/>
      <w:r>
        <w:rPr>
          <w:rFonts w:hint="eastAsia" w:eastAsia="宋体"/>
          <w:sz w:val="21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-561975</wp:posOffset>
            </wp:positionV>
            <wp:extent cx="7098665" cy="9893935"/>
            <wp:effectExtent l="0" t="0" r="635" b="12065"/>
            <wp:wrapNone/>
            <wp:docPr id="2" name="图片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98665" cy="989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32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1420"/>
        <w:gridCol w:w="1140"/>
        <w:gridCol w:w="3507"/>
        <w:gridCol w:w="2273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9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39" w:type="dxa"/>
            <w:tcBorders>
              <w:lef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2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40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50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273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9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20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14:00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</w:t>
            </w:r>
            <w:r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  <w:t>14:30</w:t>
            </w:r>
          </w:p>
        </w:tc>
        <w:tc>
          <w:tcPr>
            <w:tcW w:w="1140" w:type="dxa"/>
            <w:shd w:val="clear" w:color="auto" w:fill="FFFFFF" w:themeFill="background1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07" w:type="dxa"/>
            <w:shd w:val="clear" w:color="auto" w:fill="FFFFFF" w:themeFill="background1"/>
          </w:tcPr>
          <w:p>
            <w:pPr>
              <w:spacing w:line="300" w:lineRule="exact"/>
              <w:ind w:firstLine="1054" w:firstLineChars="5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273" w:type="dxa"/>
            <w:shd w:val="clear" w:color="auto" w:fill="FFFFFF" w:themeFill="background1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13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1140" w:type="dxa"/>
            <w:shd w:val="clear" w:color="auto" w:fill="FFFFFF" w:themeFill="background1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507" w:type="dxa"/>
            <w:shd w:val="clear" w:color="auto" w:fill="FFFFFF" w:themeFill="background1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2273" w:type="dxa"/>
            <w:shd w:val="clear" w:color="auto" w:fill="FFFFFF" w:themeFill="background1"/>
          </w:tcPr>
          <w:p>
            <w:pPr>
              <w:tabs>
                <w:tab w:val="left" w:pos="709"/>
              </w:tabs>
              <w:ind w:right="57"/>
              <w:jc w:val="lef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4.2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4.3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5.1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5.2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6.1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7.1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7.4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 xml:space="preserve"> 9.3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10.3，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13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16:30-17:30</w:t>
            </w:r>
          </w:p>
        </w:tc>
        <w:tc>
          <w:tcPr>
            <w:tcW w:w="1140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507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内外部因素、相关方的需求和期望、风险和机遇控制、内部审核、管理评审、人员能力培训、意识、知识管理、文件/记录控制）</w:t>
            </w:r>
          </w:p>
        </w:tc>
        <w:tc>
          <w:tcPr>
            <w:tcW w:w="2273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、6.2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、6.1.2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、6.1.3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、6.2.1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、6.2.2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、6.1.4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、7.2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、7.3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、7.5.1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、7.5.2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、7.5.3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、8.1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、8.2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、9.1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（9.1.1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、9.1.2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）、9.2、10.2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，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FFFFFF" w:themeFill="background1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13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20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17:30-18:30</w:t>
            </w:r>
          </w:p>
        </w:tc>
        <w:tc>
          <w:tcPr>
            <w:tcW w:w="1140" w:type="dxa"/>
            <w:shd w:val="clear" w:color="auto" w:fill="FFFFFF" w:themeFill="background1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技术质量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部</w:t>
            </w:r>
          </w:p>
        </w:tc>
        <w:tc>
          <w:tcPr>
            <w:tcW w:w="3507" w:type="dxa"/>
            <w:shd w:val="clear" w:color="auto" w:fill="FFFFFF" w:themeFill="background1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环境因素识别，环境运行控制，应急准备和响应，目标指标和管理方案</w:t>
            </w:r>
          </w:p>
        </w:tc>
        <w:tc>
          <w:tcPr>
            <w:tcW w:w="2273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/>
                <w:sz w:val="21"/>
                <w:szCs w:val="21"/>
              </w:rPr>
              <w:t xml:space="preserve">6.1.2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8.2 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2" w:hRule="atLeast"/>
        </w:trPr>
        <w:tc>
          <w:tcPr>
            <w:tcW w:w="1139" w:type="dxa"/>
            <w:vMerge w:val="restart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31</w:t>
            </w:r>
          </w:p>
        </w:tc>
        <w:tc>
          <w:tcPr>
            <w:tcW w:w="1420" w:type="dxa"/>
            <w:shd w:val="clear" w:color="auto" w:fill="FFFFFF" w:themeFill="background1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lang w:val="en-US" w:eastAsia="zh-CN"/>
              </w:rPr>
              <w:t>8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</w:rPr>
              <w:t>: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</w:rPr>
              <w:t>0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lang w:val="en-US" w:eastAsia="zh-CN"/>
              </w:rPr>
              <w:t>-10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</w:rPr>
              <w:t>: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</w:rPr>
              <w:t>0</w:t>
            </w:r>
          </w:p>
        </w:tc>
        <w:tc>
          <w:tcPr>
            <w:tcW w:w="1140" w:type="dxa"/>
            <w:shd w:val="clear" w:color="auto" w:fill="FFFFFF" w:themeFill="background1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</w:rPr>
              <w:t>生产</w:t>
            </w:r>
            <w:r>
              <w:rPr>
                <w:rFonts w:hint="eastAsia" w:ascii="宋体" w:hAnsi="宋体" w:cs="Times New Roman"/>
                <w:b/>
                <w:color w:val="000000"/>
                <w:sz w:val="20"/>
                <w:lang w:val="en-US" w:eastAsia="zh-CN"/>
              </w:rPr>
              <w:t>部</w:t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b/>
                <w:color w:val="000000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</w:rPr>
              <w:t>及现场</w:t>
            </w:r>
          </w:p>
        </w:tc>
        <w:tc>
          <w:tcPr>
            <w:tcW w:w="3507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环境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绩效控制等</w:t>
            </w:r>
          </w:p>
        </w:tc>
        <w:tc>
          <w:tcPr>
            <w:tcW w:w="2273" w:type="dxa"/>
            <w:shd w:val="clear" w:color="auto" w:fill="FFFFFF" w:themeFill="background1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6.2、</w:t>
            </w:r>
            <w:r>
              <w:rPr>
                <w:rFonts w:hint="eastAsia"/>
                <w:sz w:val="21"/>
                <w:szCs w:val="21"/>
              </w:rPr>
              <w:t>6.1.2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6.1.4 7.4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8.2  9.1.1 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13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pacing w:line="300" w:lineRule="exact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lang w:val="en-US" w:eastAsia="zh-CN"/>
              </w:rPr>
              <w:t>10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</w:rPr>
              <w:t>: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  <w:lang w:val="en-US" w:eastAsia="zh-CN"/>
              </w:rPr>
              <w:t>00-11</w:t>
            </w:r>
            <w:r>
              <w:rPr>
                <w:rFonts w:hint="eastAsia" w:ascii="宋体" w:hAnsi="宋体" w:eastAsia="宋体" w:cs="Times New Roman"/>
                <w:b/>
                <w:color w:val="000000"/>
                <w:sz w:val="20"/>
              </w:rPr>
              <w:t>:00</w:t>
            </w:r>
          </w:p>
        </w:tc>
        <w:tc>
          <w:tcPr>
            <w:tcW w:w="1140" w:type="dxa"/>
            <w:shd w:val="clear" w:color="auto" w:fill="FFFFFF" w:themeFill="background1"/>
            <w:vAlign w:val="top"/>
          </w:tcPr>
          <w:p>
            <w:pPr>
              <w:adjustRightInd w:val="0"/>
              <w:textAlignment w:val="baseline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0"/>
              </w:rPr>
              <w:t>供销</w:t>
            </w:r>
            <w:r>
              <w:rPr>
                <w:rFonts w:hint="eastAsia" w:ascii="宋体" w:hAnsi="宋体"/>
                <w:b/>
                <w:color w:val="000000"/>
                <w:sz w:val="20"/>
                <w:lang w:val="en-US" w:eastAsia="zh-CN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（含库房）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</w:tc>
        <w:tc>
          <w:tcPr>
            <w:tcW w:w="3507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危化品、劳保用品的采购过程、物料仓储EHS管控</w:t>
            </w:r>
          </w:p>
        </w:tc>
        <w:tc>
          <w:tcPr>
            <w:tcW w:w="2273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 xml:space="preserve">5.3 6.1.2 6.1.4 7.4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8.1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8.2  9.1.1 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13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11:00-11:30</w:t>
            </w:r>
          </w:p>
        </w:tc>
        <w:tc>
          <w:tcPr>
            <w:tcW w:w="1140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07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273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</w:trPr>
        <w:tc>
          <w:tcPr>
            <w:tcW w:w="1139" w:type="dxa"/>
            <w:vMerge w:val="continue"/>
            <w:tcBorders>
              <w:left w:val="single" w:color="auto" w:sz="8" w:space="0"/>
            </w:tcBorders>
            <w:shd w:val="clear" w:color="auto" w:fill="FFFFFF" w:themeFill="background1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20" w:type="dxa"/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11:30-12:00</w:t>
            </w:r>
          </w:p>
        </w:tc>
        <w:tc>
          <w:tcPr>
            <w:tcW w:w="1140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507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2273" w:type="dxa"/>
            <w:shd w:val="clear" w:color="auto" w:fill="FFFFFF" w:themeFill="background1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900" w:type="dxa"/>
            <w:tcBorders>
              <w:right w:val="single" w:color="auto" w:sz="8" w:space="0"/>
            </w:tcBorders>
            <w:shd w:val="clear" w:color="auto" w:fill="FFFFFF" w:themeFill="background1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</w:tbl>
    <w:p>
      <w:pPr>
        <w:pStyle w:val="2"/>
      </w:pPr>
    </w:p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D14ACC"/>
    <w:rsid w:val="28597B11"/>
    <w:rsid w:val="662963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2021-10-31T04:11:05Z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