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1108-2021-QE</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安吉县天驰竹木业有限公司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3"/>
        <w:rPr>
          <w:sz w:val="28"/>
          <w:szCs w:val="28"/>
        </w:rPr>
      </w:pPr>
    </w:p>
    <w:p>
      <w:pPr>
        <w:pStyle w:val="13"/>
        <w:rPr>
          <w:sz w:val="28"/>
          <w:szCs w:val="28"/>
        </w:rPr>
      </w:pPr>
    </w:p>
    <w:p>
      <w:pPr>
        <w:pStyle w:val="13"/>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安吉县天驰竹木业有限公司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安吉县上墅乡刘家塘村2幢</w:t>
            </w:r>
            <w:bookmarkEnd w:id="6"/>
          </w:p>
        </w:tc>
        <w:tc>
          <w:tcPr>
            <w:tcW w:w="1242" w:type="dxa"/>
            <w:vMerge w:val="restart"/>
            <w:vAlign w:val="center"/>
          </w:tcPr>
          <w:p>
            <w:r>
              <w:rPr>
                <w:rFonts w:hint="eastAsia"/>
              </w:rPr>
              <w:t>邮编</w:t>
            </w:r>
          </w:p>
        </w:tc>
        <w:tc>
          <w:tcPr>
            <w:tcW w:w="1771" w:type="dxa"/>
          </w:tcPr>
          <w:p>
            <w:bookmarkStart w:id="7" w:name="注册邮编"/>
            <w:r>
              <w:t>313300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安吉县上墅乡刘家塘村2幢</w:t>
            </w:r>
            <w:bookmarkEnd w:id="8"/>
          </w:p>
        </w:tc>
        <w:tc>
          <w:tcPr>
            <w:tcW w:w="1242" w:type="dxa"/>
            <w:vMerge w:val="continue"/>
            <w:vAlign w:val="center"/>
          </w:tcPr>
          <w:p/>
        </w:tc>
        <w:tc>
          <w:tcPr>
            <w:tcW w:w="1771" w:type="dxa"/>
          </w:tcPr>
          <w:p>
            <w:bookmarkStart w:id="9" w:name="办公邮编"/>
            <w:r>
              <w:t>313300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陈华菊</w:t>
            </w:r>
            <w:bookmarkEnd w:id="10"/>
          </w:p>
        </w:tc>
        <w:tc>
          <w:tcPr>
            <w:tcW w:w="1313" w:type="dxa"/>
            <w:vAlign w:val="center"/>
          </w:tcPr>
          <w:p>
            <w:r>
              <w:rPr>
                <w:rFonts w:hint="eastAsia"/>
              </w:rPr>
              <w:t>电话.</w:t>
            </w:r>
          </w:p>
        </w:tc>
        <w:tc>
          <w:tcPr>
            <w:tcW w:w="2180" w:type="dxa"/>
            <w:vAlign w:val="center"/>
          </w:tcPr>
          <w:p>
            <w:bookmarkStart w:id="11" w:name="联系人电话"/>
            <w:r>
              <w:t>13819265692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杨利刚</w:t>
            </w:r>
            <w:bookmarkEnd w:id="13"/>
          </w:p>
        </w:tc>
        <w:tc>
          <w:tcPr>
            <w:tcW w:w="1313" w:type="dxa"/>
            <w:vAlign w:val="center"/>
          </w:tcPr>
          <w:p>
            <w:r>
              <w:rPr>
                <w:rFonts w:hint="eastAsia"/>
              </w:rPr>
              <w:t>管理者代表</w:t>
            </w:r>
          </w:p>
        </w:tc>
        <w:tc>
          <w:tcPr>
            <w:tcW w:w="2180" w:type="dxa"/>
          </w:tcPr>
          <w:p>
            <w:bookmarkStart w:id="14" w:name="管理者代表"/>
            <w:r>
              <w:t>杨利刚</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b/>
                <w:sz w:val="20"/>
              </w:rPr>
              <w:t>竹板</w:t>
            </w:r>
            <w:r>
              <w:rPr>
                <w:rFonts w:hint="eastAsia"/>
                <w:b/>
                <w:sz w:val="20"/>
                <w:lang w:val="en-US" w:eastAsia="zh-CN"/>
              </w:rPr>
              <w:t>坯</w:t>
            </w:r>
            <w:r>
              <w:rPr>
                <w:rFonts w:hint="eastAsia"/>
                <w:b/>
                <w:sz w:val="20"/>
              </w:rPr>
              <w:t>→砂光机定厚→四面刨加工→双端铣加工→豪迈铣槽线→水平衡→地板封背油漆线→地板腻子机线→油漆线→成品打包→仓库</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2021年10月29日 上午至2021年10月31日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val="en-US" w:eastAsia="zh-CN"/>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val="en-US"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Q：重</w:t>
            </w:r>
            <w:r>
              <w:rPr>
                <w:rFonts w:hint="eastAsia"/>
                <w:lang w:val="en-US" w:eastAsia="zh-CN"/>
              </w:rPr>
              <w:t>组</w:t>
            </w:r>
            <w:r>
              <w:t>竹地板的研发、加工（除竹拉丝、竹染色、竹漂白）</w:t>
            </w:r>
          </w:p>
          <w:p>
            <w:r>
              <w:t>E：重</w:t>
            </w:r>
            <w:r>
              <w:rPr>
                <w:rFonts w:hint="eastAsia"/>
                <w:lang w:val="en-US" w:eastAsia="zh-CN"/>
              </w:rPr>
              <w:t>组</w:t>
            </w:r>
            <w:r>
              <w:t>竹地板的研发、加工（除竹拉丝、竹染色、竹漂白）所涉及场所的相关环境管理活动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Q：06.01.00</w:t>
            </w:r>
          </w:p>
          <w:p>
            <w:r>
              <w:t>E：06.01.00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713"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30"/>
        <w:gridCol w:w="1260"/>
        <w:gridCol w:w="920"/>
        <w:gridCol w:w="2790"/>
        <w:gridCol w:w="1310"/>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43" w:type="dxa"/>
            <w:shd w:val="clear" w:color="auto" w:fill="F3F3F3"/>
            <w:tcMar>
              <w:left w:w="57" w:type="dxa"/>
              <w:right w:w="57" w:type="dxa"/>
            </w:tcMar>
          </w:tcPr>
          <w:p>
            <w:r>
              <w:rPr>
                <w:rFonts w:hint="eastAsia"/>
              </w:rPr>
              <w:t>场所编号</w:t>
            </w:r>
          </w:p>
          <w:p>
            <w:r>
              <w:rPr>
                <w:rFonts w:hint="eastAsia"/>
              </w:rPr>
              <w:t>(分证书序号）</w:t>
            </w:r>
          </w:p>
        </w:tc>
        <w:tc>
          <w:tcPr>
            <w:tcW w:w="1330" w:type="dxa"/>
            <w:shd w:val="clear" w:color="auto" w:fill="F3F3F3"/>
            <w:tcMar>
              <w:left w:w="57" w:type="dxa"/>
              <w:right w:w="57" w:type="dxa"/>
            </w:tcMar>
          </w:tcPr>
          <w:p>
            <w:r>
              <w:rPr>
                <w:rFonts w:hint="eastAsia"/>
              </w:rPr>
              <w:t>组织名称及注册场所地址</w:t>
            </w:r>
          </w:p>
        </w:tc>
        <w:tc>
          <w:tcPr>
            <w:tcW w:w="1260" w:type="dxa"/>
            <w:shd w:val="clear" w:color="auto" w:fill="F3F3F3"/>
            <w:tcMar>
              <w:left w:w="57" w:type="dxa"/>
              <w:right w:w="57" w:type="dxa"/>
            </w:tcMar>
          </w:tcPr>
          <w:p>
            <w:r>
              <w:rPr>
                <w:rFonts w:hint="eastAsia"/>
              </w:rPr>
              <w:t>经营场所的地址</w:t>
            </w:r>
          </w:p>
          <w:p>
            <w:r>
              <w:rPr>
                <w:rFonts w:hint="eastAsia"/>
              </w:rPr>
              <w:t>（多现场和临时现场）</w:t>
            </w:r>
          </w:p>
        </w:tc>
        <w:tc>
          <w:tcPr>
            <w:tcW w:w="920" w:type="dxa"/>
            <w:shd w:val="clear" w:color="auto" w:fill="F3F3F3"/>
            <w:tcMar>
              <w:left w:w="57" w:type="dxa"/>
              <w:right w:w="57" w:type="dxa"/>
            </w:tcMar>
          </w:tcPr>
          <w:p>
            <w:r>
              <w:rPr>
                <w:rFonts w:hint="eastAsia"/>
              </w:rPr>
              <w:t>员工人数</w:t>
            </w:r>
          </w:p>
        </w:tc>
        <w:tc>
          <w:tcPr>
            <w:tcW w:w="2790" w:type="dxa"/>
            <w:shd w:val="clear" w:color="auto" w:fill="F3F3F3"/>
            <w:tcMar>
              <w:left w:w="57" w:type="dxa"/>
              <w:right w:w="57" w:type="dxa"/>
            </w:tcMar>
          </w:tcPr>
          <w:p>
            <w:r>
              <w:rPr>
                <w:rFonts w:hint="eastAsia"/>
              </w:rPr>
              <w:t>审核范围（产品和过程）</w:t>
            </w:r>
          </w:p>
          <w:p/>
          <w:p/>
        </w:tc>
        <w:tc>
          <w:tcPr>
            <w:tcW w:w="1310" w:type="dxa"/>
            <w:shd w:val="clear" w:color="auto" w:fill="F3F3F3"/>
            <w:tcMar>
              <w:left w:w="57" w:type="dxa"/>
              <w:right w:w="57" w:type="dxa"/>
            </w:tcMar>
          </w:tcPr>
          <w:p>
            <w:r>
              <w:rPr>
                <w:rFonts w:hint="eastAsia"/>
              </w:rPr>
              <w:t>标准</w:t>
            </w:r>
          </w:p>
        </w:tc>
        <w:tc>
          <w:tcPr>
            <w:tcW w:w="1160"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43" w:type="dxa"/>
            <w:vAlign w:val="center"/>
          </w:tcPr>
          <w:p>
            <w:pPr>
              <w:rPr>
                <w:lang w:eastAsia="ja-JP"/>
              </w:rPr>
            </w:pPr>
            <w:r>
              <w:rPr>
                <w:rFonts w:hint="eastAsia"/>
                <w:lang w:eastAsia="ja-JP"/>
              </w:rPr>
              <w:t>01</w:t>
            </w:r>
          </w:p>
        </w:tc>
        <w:tc>
          <w:tcPr>
            <w:tcW w:w="1330" w:type="dxa"/>
          </w:tcPr>
          <w:p>
            <w:pPr>
              <w:rPr>
                <w:rFonts w:hint="eastAsia" w:eastAsia="宋体"/>
                <w:lang w:val="en-US" w:eastAsia="zh-CN"/>
              </w:rPr>
            </w:pPr>
            <w:r>
              <w:t>安吉县天驰竹木业有限公司</w:t>
            </w:r>
            <w:r>
              <w:rPr>
                <w:rFonts w:hint="eastAsia"/>
                <w:lang w:val="en-US" w:eastAsia="zh-CN"/>
              </w:rPr>
              <w:t>/</w:t>
            </w:r>
            <w:r>
              <w:t>安吉县上墅乡刘家塘村2幢</w:t>
            </w:r>
          </w:p>
        </w:tc>
        <w:tc>
          <w:tcPr>
            <w:tcW w:w="1260" w:type="dxa"/>
          </w:tcPr>
          <w:p>
            <w:pPr>
              <w:rPr>
                <w:lang w:val="de-DE" w:eastAsia="ja-JP"/>
              </w:rPr>
            </w:pPr>
            <w:r>
              <w:t>安吉县上墅乡刘家塘村2幢</w:t>
            </w:r>
          </w:p>
        </w:tc>
        <w:tc>
          <w:tcPr>
            <w:tcW w:w="920" w:type="dxa"/>
            <w:vAlign w:val="center"/>
          </w:tcPr>
          <w:p>
            <w:pPr>
              <w:rPr>
                <w:rFonts w:hint="default" w:eastAsia="宋体"/>
                <w:lang w:val="en-US" w:eastAsia="zh-CN"/>
              </w:rPr>
            </w:pPr>
            <w:r>
              <w:rPr>
                <w:rFonts w:hint="eastAsia"/>
                <w:lang w:val="en-US" w:eastAsia="zh-CN"/>
              </w:rPr>
              <w:t>33人</w:t>
            </w:r>
          </w:p>
        </w:tc>
        <w:tc>
          <w:tcPr>
            <w:tcW w:w="2790" w:type="dxa"/>
            <w:vAlign w:val="center"/>
          </w:tcPr>
          <w:p>
            <w:r>
              <w:t>Q：重</w:t>
            </w:r>
            <w:r>
              <w:rPr>
                <w:rFonts w:hint="eastAsia"/>
                <w:lang w:val="en-US" w:eastAsia="zh-CN"/>
              </w:rPr>
              <w:t>组</w:t>
            </w:r>
            <w:r>
              <w:t>竹地板的研发、加工（除竹拉丝、竹染色、竹漂白）</w:t>
            </w:r>
          </w:p>
          <w:p>
            <w:pPr>
              <w:rPr>
                <w:lang w:eastAsia="ja-JP"/>
              </w:rPr>
            </w:pPr>
            <w:r>
              <w:t>E：重</w:t>
            </w:r>
            <w:r>
              <w:rPr>
                <w:rFonts w:hint="eastAsia"/>
                <w:lang w:val="en-US" w:eastAsia="zh-CN"/>
              </w:rPr>
              <w:t>组</w:t>
            </w:r>
            <w:r>
              <w:t>竹地板的研发、加工（除竹拉丝、竹染色、竹漂白）所涉及场所的相关环境管理活动</w:t>
            </w:r>
          </w:p>
        </w:tc>
        <w:tc>
          <w:tcPr>
            <w:tcW w:w="1310" w:type="dxa"/>
            <w:vAlign w:val="center"/>
          </w:tcPr>
          <w:p>
            <w:pPr>
              <w:rPr>
                <w:rFonts w:hint="eastAsia"/>
                <w:lang w:val="en-US" w:eastAsia="zh-CN"/>
              </w:rPr>
            </w:pPr>
            <w:r>
              <w:rPr>
                <w:rFonts w:hint="eastAsia"/>
                <w:lang w:val="en-US" w:eastAsia="zh-CN"/>
              </w:rPr>
              <w:t>GB/T19001</w:t>
            </w:r>
          </w:p>
          <w:p>
            <w:pPr>
              <w:pStyle w:val="13"/>
              <w:rPr>
                <w:rFonts w:hint="default"/>
                <w:lang w:val="en-US" w:eastAsia="zh-CN"/>
              </w:rPr>
            </w:pPr>
            <w:r>
              <w:rPr>
                <w:rFonts w:hint="eastAsia"/>
                <w:lang w:val="en-US" w:eastAsia="zh-CN"/>
              </w:rPr>
              <w:t>GB/T24001</w:t>
            </w:r>
          </w:p>
        </w:tc>
        <w:tc>
          <w:tcPr>
            <w:tcW w:w="1160" w:type="dxa"/>
            <w:shd w:val="clear" w:color="auto" w:fill="FFFFFF"/>
            <w:vAlign w:val="center"/>
          </w:tcPr>
          <w:p>
            <w:pPr>
              <w:jc w:val="both"/>
              <w:rPr>
                <w:rFonts w:hint="eastAsia"/>
              </w:rPr>
            </w:pPr>
            <w:r>
              <w:rPr>
                <w:rFonts w:hint="eastAsia"/>
              </w:rPr>
              <w:sym w:font="Wingdings 2" w:char="0052"/>
            </w:r>
          </w:p>
          <w:p>
            <w:pPr>
              <w:jc w:val="both"/>
            </w:pPr>
            <w:r>
              <w:rPr>
                <w:rFonts w:hint="eastAsia"/>
              </w:rPr>
              <w:sym w:font="Wingdings 2" w:char="0052"/>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组长</w:t>
            </w:r>
          </w:p>
        </w:tc>
        <w:tc>
          <w:tcPr>
            <w:tcW w:w="711" w:type="dxa"/>
            <w:vAlign w:val="center"/>
          </w:tcPr>
          <w:p>
            <w:r>
              <w:t>男</w:t>
            </w:r>
          </w:p>
        </w:tc>
        <w:tc>
          <w:tcPr>
            <w:tcW w:w="3870" w:type="dxa"/>
            <w:vAlign w:val="center"/>
          </w:tcPr>
          <w:p>
            <w:r>
              <w:t>2019-N1QMS-4059501</w:t>
            </w:r>
          </w:p>
          <w:p>
            <w:r>
              <w:t>2020-N1EMS-3059501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王献华</w:t>
            </w:r>
          </w:p>
        </w:tc>
        <w:tc>
          <w:tcPr>
            <w:tcW w:w="1089" w:type="dxa"/>
            <w:vAlign w:val="center"/>
          </w:tcPr>
          <w:p>
            <w:r>
              <w:t>组员</w:t>
            </w:r>
          </w:p>
        </w:tc>
        <w:tc>
          <w:tcPr>
            <w:tcW w:w="711" w:type="dxa"/>
            <w:vAlign w:val="center"/>
          </w:tcPr>
          <w:p>
            <w:r>
              <w:t>男</w:t>
            </w:r>
          </w:p>
        </w:tc>
        <w:tc>
          <w:tcPr>
            <w:tcW w:w="3870" w:type="dxa"/>
            <w:vAlign w:val="center"/>
          </w:tcPr>
          <w:p>
            <w:r>
              <w:t>2021-N1QMS-1244982</w:t>
            </w:r>
          </w:p>
          <w:p>
            <w:r>
              <w:t>2021-N0EMS-1244982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丁旭卫</w:t>
            </w:r>
          </w:p>
        </w:tc>
        <w:tc>
          <w:tcPr>
            <w:tcW w:w="1089" w:type="dxa"/>
            <w:vAlign w:val="center"/>
          </w:tcPr>
          <w:p>
            <w:r>
              <w:t>组员</w:t>
            </w:r>
          </w:p>
        </w:tc>
        <w:tc>
          <w:tcPr>
            <w:tcW w:w="711" w:type="dxa"/>
            <w:vAlign w:val="center"/>
          </w:tcPr>
          <w:p>
            <w:r>
              <w:t>男</w:t>
            </w:r>
          </w:p>
        </w:tc>
        <w:tc>
          <w:tcPr>
            <w:tcW w:w="3870" w:type="dxa"/>
            <w:vAlign w:val="center"/>
          </w:tcPr>
          <w:p>
            <w:r>
              <w:t>ISC-JSZJ-380</w:t>
            </w:r>
          </w:p>
          <w:p>
            <w:r>
              <w:t>ISC-JSZJ-380</w:t>
            </w:r>
          </w:p>
          <w:p>
            <w:r>
              <w:t>安吉县质量技术监督检测中心</w:t>
            </w:r>
          </w:p>
        </w:tc>
        <w:tc>
          <w:tcPr>
            <w:tcW w:w="2179" w:type="dxa"/>
            <w:vAlign w:val="center"/>
          </w:tcPr>
          <w:p>
            <w:r>
              <w:t>Q:06.01.00</w:t>
            </w:r>
          </w:p>
          <w:p>
            <w:r>
              <w:t>E:06.01.00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w:t>
      </w:r>
      <w:r>
        <w:rPr>
          <w:rFonts w:hint="eastAsia"/>
        </w:rPr>
        <w:sym w:font="Wingdings 2" w:char="0052"/>
      </w:r>
      <w:r>
        <w:rPr>
          <w:rFonts w:hint="eastAsia"/>
        </w:rPr>
        <w:t xml:space="preserve">QMS </w:t>
      </w:r>
      <w:r>
        <w:rPr>
          <w:rFonts w:hint="eastAsia"/>
        </w:rPr>
        <w:sym w:font="Wingdings 2" w:char="0052"/>
      </w:r>
      <w:r>
        <w:rPr>
          <w:rFonts w:hint="eastAsia"/>
        </w:rPr>
        <w:t>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 xml:space="preserve">一阶段未提出整改要求；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2</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7620</wp:posOffset>
                  </wp:positionH>
                  <wp:positionV relativeFrom="paragraph">
                    <wp:posOffset>299720</wp:posOffset>
                  </wp:positionV>
                  <wp:extent cx="833120" cy="602615"/>
                  <wp:effectExtent l="0" t="0" r="0" b="635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6"/>
                          <a:stretch>
                            <a:fillRect/>
                          </a:stretch>
                        </pic:blipFill>
                        <pic:spPr>
                          <a:xfrm>
                            <a:off x="0" y="0"/>
                            <a:ext cx="833120" cy="60261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2021-10-31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p>
    <w:p>
      <w:pPr>
        <w:rPr>
          <w:shd w:val="clear" w:color="FFFFFF" w:fill="D9D9D9"/>
        </w:rPr>
      </w:pPr>
    </w:p>
    <w:p>
      <w:pPr>
        <w:rPr>
          <w:rFonts w:hint="default" w:eastAsia="宋体"/>
          <w:shd w:val="clear" w:color="FFFFFF" w:fill="D9D9D9"/>
          <w:lang w:val="en-US" w:eastAsia="zh-CN"/>
        </w:rPr>
      </w:pPr>
      <w:r>
        <w:rPr>
          <w:shd w:val="clear" w:color="FFFFFF" w:fill="D9D9D9"/>
        </w:rPr>
        <w:t>附件</w:t>
      </w:r>
      <w:r>
        <w:rPr>
          <w:rFonts w:hint="eastAsia"/>
          <w:shd w:val="clear" w:color="FFFFFF" w:fill="D9D9D9"/>
          <w:lang w:val="en-US" w:eastAsia="zh-CN"/>
        </w:rPr>
        <w:t>GB/T 19001-2016</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r>
                    <w:rPr>
                      <w:rFonts w:hint="eastAsia"/>
                    </w:rPr>
                    <w:sym w:font="Wingdings 2" w:char="00A3"/>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w:t>
            </w:r>
            <w:r>
              <w:rPr>
                <w:rFonts w:hint="eastAsia"/>
                <w:lang w:val="en-US" w:eastAsia="zh-CN"/>
              </w:rPr>
              <w:t>方</w:t>
            </w:r>
            <w:r>
              <w:rPr>
                <w:rFonts w:hint="eastAsia"/>
              </w:rPr>
              <w:t>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A3"/>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rPr>
                <w:rFonts w:hint="default" w:eastAsia="宋体"/>
                <w:lang w:val="en-US" w:eastAsia="zh-CN"/>
              </w:rPr>
            </w:pPr>
            <w:r>
              <w:rPr>
                <w:rFonts w:hint="eastAsia"/>
                <w:lang w:val="en-US" w:eastAsia="zh-CN"/>
              </w:rPr>
              <w:t>无</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宋体" w:hAnsi="宋体" w:cs="宋体"/>
                <w:szCs w:val="21"/>
              </w:rPr>
            </w:pPr>
            <w:r>
              <w:rPr>
                <w:rFonts w:hint="eastAsia"/>
              </w:rPr>
              <w:t>最高管理者制定了文件化的管理体系方针：</w:t>
            </w:r>
            <w:bookmarkStart w:id="33" w:name="OLE_LINK11"/>
            <w:r>
              <w:rPr>
                <w:rFonts w:hint="eastAsia" w:ascii="宋体" w:hAnsi="宋体" w:cs="宋体"/>
                <w:szCs w:val="21"/>
              </w:rPr>
              <w:t>精心制作、提升品质、立足市场、顾客满意；规范操作，减少环境污染</w:t>
            </w:r>
            <w:r>
              <w:rPr>
                <w:rFonts w:hint="eastAsia" w:ascii="宋体" w:hAnsi="宋体" w:cs="宋体"/>
                <w:szCs w:val="21"/>
                <w:lang w:eastAsia="zh-CN"/>
              </w:rPr>
              <w:t>；</w:t>
            </w:r>
            <w:r>
              <w:rPr>
                <w:rFonts w:hint="eastAsia" w:ascii="宋体" w:hAnsi="宋体" w:cs="宋体"/>
                <w:szCs w:val="21"/>
              </w:rPr>
              <w:t>关爱生命，预防安全事故</w:t>
            </w:r>
            <w:r>
              <w:rPr>
                <w:rFonts w:hint="eastAsia" w:ascii="宋体" w:hAnsi="宋体" w:cs="宋体"/>
                <w:szCs w:val="21"/>
                <w:lang w:eastAsia="zh-CN"/>
              </w:rPr>
              <w:t>；</w:t>
            </w:r>
            <w:r>
              <w:rPr>
                <w:rFonts w:hint="eastAsia" w:ascii="宋体" w:hAnsi="宋体" w:cs="宋体"/>
                <w:szCs w:val="21"/>
              </w:rPr>
              <w:t>遵纪守法，追求不断改进</w:t>
            </w:r>
            <w:bookmarkEnd w:id="33"/>
            <w:r>
              <w:rPr>
                <w:rFonts w:hint="eastAsia" w:ascii="宋体" w:hAnsi="宋体" w:cs="宋体"/>
                <w:szCs w:val="21"/>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总经办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企业的组织架构、人员结构等不能适应企业战略的需要，影响企业经营发展。例如，业务转型后，缺少精通新业务的专业人员。</w:t>
                  </w:r>
                </w:p>
              </w:tc>
              <w:tc>
                <w:tcPr>
                  <w:tcW w:w="396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公司每年度修订人力资源发展规划，根据企业生产规模，精益生产等因素，配备相应的人员并实施考核。</w:t>
                  </w:r>
                </w:p>
              </w:tc>
              <w:tc>
                <w:tcPr>
                  <w:tcW w:w="171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投资决策缺乏充分调研、论证，导致决策失败。例如：新产品开发方向错误、市场定位不当，导致成本过高、需求 不足、现金流短缺等问题。</w:t>
                  </w:r>
                </w:p>
              </w:tc>
              <w:tc>
                <w:tcPr>
                  <w:tcW w:w="396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公司每年度公司对生产规模，投资决策，企业发展方向根据实际情况，召开中层会议，讨论作出决策，</w:t>
                  </w:r>
                </w:p>
              </w:tc>
              <w:tc>
                <w:tcPr>
                  <w:tcW w:w="171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采购成本、维护成本、管理费用等过高，影响企业经营效益。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例如：虚报设备维修费用；虚报油耗；采购价格过高等。</w:t>
                  </w:r>
                </w:p>
              </w:tc>
              <w:tc>
                <w:tcPr>
                  <w:tcW w:w="396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公司对运营成本高的项目作出分析，采取有力的措施。</w:t>
                  </w:r>
                </w:p>
              </w:tc>
              <w:tc>
                <w:tcPr>
                  <w:tcW w:w="171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采购的设备、设施或服务资源不符合业务需要，影响业务经营，并造成资源浪费和财务损失。</w:t>
                  </w:r>
                </w:p>
              </w:tc>
              <w:tc>
                <w:tcPr>
                  <w:tcW w:w="396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新购设备，设备技改等，要求项目部相关人员制定方案，采取多方比较，综合考虑再决定采购。</w:t>
                  </w:r>
                </w:p>
              </w:tc>
              <w:tc>
                <w:tcPr>
                  <w:tcW w:w="171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服务供应商更换，影响服务质量。例如，原材料供应商变更后原材料质量下降，影响产品品质。</w:t>
                  </w:r>
                </w:p>
              </w:tc>
              <w:tc>
                <w:tcPr>
                  <w:tcW w:w="396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对公司内部运输队和外部运输方定期进行考核，促进相关方提高服务质量。</w:t>
                  </w:r>
                </w:p>
              </w:tc>
              <w:tc>
                <w:tcPr>
                  <w:tcW w:w="1717" w:type="dxa"/>
                  <w:vAlign w:val="center"/>
                </w:tcPr>
                <w:p>
                  <w:pPr>
                    <w:shd w:val="clear" w:color="auto" w:fill="C7DAF1" w:themeFill="text2" w:themeFillTint="32"/>
                    <w:jc w:val="cente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运营规划不合理，导致运营能力（运力、仓库等）闲置或不足。</w:t>
                  </w:r>
                </w:p>
              </w:tc>
              <w:tc>
                <w:tcPr>
                  <w:tcW w:w="396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公司每年度对总体的运营能力进行规划，综合考虑制定合适的运营规划。</w:t>
                  </w:r>
                </w:p>
              </w:tc>
              <w:tc>
                <w:tcPr>
                  <w:tcW w:w="1717" w:type="dxa"/>
                  <w:vAlign w:val="center"/>
                </w:tcPr>
                <w:p>
                  <w:pPr>
                    <w:shd w:val="clear" w:color="auto" w:fill="C7DAF1" w:themeFill="text2" w:themeFillTint="32"/>
                    <w:jc w:val="cente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缺乏适当的、整合的管理标准、规范，影响工作质量和效率。</w:t>
                  </w:r>
                </w:p>
              </w:tc>
              <w:tc>
                <w:tcPr>
                  <w:tcW w:w="396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公司每年度对总体的运营能力进行规划，综合考虑制定合适的运营规划。</w:t>
                  </w:r>
                </w:p>
              </w:tc>
              <w:tc>
                <w:tcPr>
                  <w:tcW w:w="1717" w:type="dxa"/>
                  <w:vAlign w:val="center"/>
                </w:tcPr>
                <w:p>
                  <w:pPr>
                    <w:shd w:val="clear" w:color="auto" w:fill="C7DAF1" w:themeFill="text2" w:themeFillTint="32"/>
                    <w:jc w:val="cente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因项目延期、变更等导致项目周期变长，造成公司资源被占用过多。比如，某项目因为采购人原因搁置，与项目组后续开展冲突，现有人员无法兼顾。</w:t>
                  </w:r>
                </w:p>
              </w:tc>
              <w:tc>
                <w:tcPr>
                  <w:tcW w:w="396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项目经理加强项目风险管控，及时协调、沟通，合理安排项目人员。</w:t>
                  </w:r>
                </w:p>
              </w:tc>
              <w:tc>
                <w:tcPr>
                  <w:tcW w:w="1717" w:type="dxa"/>
                  <w:vAlign w:val="center"/>
                </w:tcPr>
                <w:p>
                  <w:pPr>
                    <w:shd w:val="clear" w:color="auto" w:fill="C7DAF1" w:themeFill="text2" w:themeFillTint="32"/>
                    <w:jc w:val="center"/>
                  </w:pPr>
                  <w:r>
                    <w:rPr>
                      <w:rFonts w:hint="eastAsia" w:ascii="宋体" w:hAnsi="宋体" w:eastAsia="宋体" w:cs="宋体"/>
                      <w:i w:val="0"/>
                      <w:iCs w:val="0"/>
                      <w:color w:val="000000"/>
                      <w:kern w:val="0"/>
                      <w:sz w:val="20"/>
                      <w:szCs w:val="20"/>
                      <w:u w:val="none"/>
                      <w:lang w:val="en-US" w:eastAsia="zh-CN" w:bidi="ar"/>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416"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693"/>
              <w:gridCol w:w="970"/>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spacing w:line="240" w:lineRule="auto"/>
                    <w:rPr>
                      <w:rFonts w:hint="eastAsia" w:ascii="宋体" w:hAnsi="宋体" w:eastAsia="宋体" w:cs="宋体"/>
                      <w:sz w:val="18"/>
                      <w:szCs w:val="18"/>
                    </w:rPr>
                  </w:pPr>
                  <w:r>
                    <w:rPr>
                      <w:rFonts w:hint="eastAsia" w:ascii="宋体" w:hAnsi="宋体" w:eastAsia="宋体" w:cs="宋体"/>
                      <w:sz w:val="18"/>
                      <w:szCs w:val="18"/>
                    </w:rPr>
                    <w:t>质量目标</w:t>
                  </w:r>
                </w:p>
              </w:tc>
              <w:tc>
                <w:tcPr>
                  <w:tcW w:w="3693" w:type="dxa"/>
                  <w:shd w:val="clear" w:color="auto" w:fill="auto"/>
                </w:tcPr>
                <w:p>
                  <w:pPr>
                    <w:shd w:val="clear" w:color="auto" w:fill="C7DAF1" w:themeFill="text2" w:themeFillTint="32"/>
                    <w:spacing w:line="240" w:lineRule="auto"/>
                    <w:rPr>
                      <w:rFonts w:hint="eastAsia" w:ascii="宋体" w:hAnsi="宋体" w:eastAsia="宋体" w:cs="宋体"/>
                      <w:sz w:val="18"/>
                      <w:szCs w:val="18"/>
                    </w:rPr>
                  </w:pPr>
                  <w:r>
                    <w:rPr>
                      <w:rFonts w:hint="eastAsia" w:ascii="宋体" w:hAnsi="宋体" w:eastAsia="宋体" w:cs="宋体"/>
                      <w:sz w:val="18"/>
                      <w:szCs w:val="18"/>
                    </w:rPr>
                    <w:t>计算方法</w:t>
                  </w:r>
                </w:p>
              </w:tc>
              <w:tc>
                <w:tcPr>
                  <w:tcW w:w="970" w:type="dxa"/>
                  <w:shd w:val="clear" w:color="auto" w:fill="auto"/>
                </w:tcPr>
                <w:p>
                  <w:pPr>
                    <w:shd w:val="clear" w:color="auto" w:fill="C7DAF1" w:themeFill="text2" w:themeFillTint="32"/>
                    <w:spacing w:line="240" w:lineRule="auto"/>
                    <w:rPr>
                      <w:rFonts w:hint="eastAsia" w:ascii="宋体" w:hAnsi="宋体" w:eastAsia="宋体" w:cs="宋体"/>
                      <w:sz w:val="18"/>
                      <w:szCs w:val="18"/>
                    </w:rPr>
                  </w:pPr>
                  <w:r>
                    <w:rPr>
                      <w:rFonts w:hint="eastAsia" w:ascii="宋体" w:hAnsi="宋体" w:eastAsia="宋体" w:cs="宋体"/>
                      <w:sz w:val="18"/>
                      <w:szCs w:val="18"/>
                    </w:rPr>
                    <w:t>责任部门</w:t>
                  </w:r>
                </w:p>
              </w:tc>
              <w:tc>
                <w:tcPr>
                  <w:tcW w:w="1597" w:type="dxa"/>
                  <w:shd w:val="clear" w:color="auto" w:fill="auto"/>
                </w:tcPr>
                <w:p>
                  <w:pPr>
                    <w:shd w:val="clear" w:color="auto" w:fill="C7DAF1" w:themeFill="text2" w:themeFillTint="32"/>
                    <w:spacing w:line="240" w:lineRule="auto"/>
                    <w:rPr>
                      <w:rFonts w:hint="eastAsia" w:ascii="宋体" w:hAnsi="宋体" w:eastAsia="宋体" w:cs="宋体"/>
                      <w:sz w:val="18"/>
                      <w:szCs w:val="18"/>
                    </w:rPr>
                  </w:pPr>
                  <w:r>
                    <w:rPr>
                      <w:rFonts w:hint="eastAsia" w:ascii="宋体" w:hAnsi="宋体" w:eastAsia="宋体" w:cs="宋体"/>
                      <w:sz w:val="18"/>
                      <w:szCs w:val="18"/>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auto"/>
                    <w:jc w:val="both"/>
                    <w:rPr>
                      <w:rFonts w:hint="eastAsia" w:ascii="宋体" w:hAnsi="宋体" w:eastAsia="宋体" w:cs="宋体"/>
                      <w:sz w:val="18"/>
                      <w:szCs w:val="18"/>
                    </w:rPr>
                  </w:pPr>
                  <w:r>
                    <w:rPr>
                      <w:rFonts w:hint="eastAsia" w:ascii="宋体" w:hAnsi="宋体" w:eastAsia="宋体" w:cs="宋体"/>
                      <w:sz w:val="18"/>
                      <w:szCs w:val="18"/>
                    </w:rPr>
                    <w:t>成品一次性交验合格率≥95%</w:t>
                  </w:r>
                </w:p>
              </w:tc>
              <w:tc>
                <w:tcPr>
                  <w:tcW w:w="3693" w:type="dxa"/>
                  <w:shd w:val="clear" w:color="auto" w:fill="auto"/>
                  <w:vAlign w:val="top"/>
                </w:tcPr>
                <w:p>
                  <w:pPr>
                    <w:numPr>
                      <w:ilvl w:val="0"/>
                      <w:numId w:val="3"/>
                    </w:numPr>
                    <w:spacing w:line="240" w:lineRule="auto"/>
                    <w:rPr>
                      <w:rFonts w:hint="eastAsia" w:ascii="宋体" w:hAnsi="宋体" w:eastAsia="宋体" w:cs="宋体"/>
                      <w:sz w:val="18"/>
                      <w:szCs w:val="18"/>
                    </w:rPr>
                  </w:pPr>
                  <w:r>
                    <w:rPr>
                      <w:rFonts w:hint="eastAsia" w:ascii="宋体" w:hAnsi="宋体" w:eastAsia="宋体" w:cs="宋体"/>
                      <w:sz w:val="18"/>
                      <w:szCs w:val="18"/>
                    </w:rPr>
                    <w:t>加强产品的检验抽查来保证产品检验的合格率等。</w:t>
                  </w:r>
                </w:p>
                <w:p>
                  <w:pPr>
                    <w:numPr>
                      <w:ilvl w:val="0"/>
                      <w:numId w:val="3"/>
                    </w:numPr>
                    <w:spacing w:line="240" w:lineRule="auto"/>
                    <w:rPr>
                      <w:rFonts w:hint="eastAsia" w:ascii="宋体" w:hAnsi="宋体" w:eastAsia="宋体" w:cs="宋体"/>
                      <w:bCs/>
                      <w:sz w:val="18"/>
                      <w:szCs w:val="18"/>
                    </w:rPr>
                  </w:pPr>
                  <w:r>
                    <w:rPr>
                      <w:rFonts w:hint="eastAsia" w:ascii="宋体" w:hAnsi="宋体" w:eastAsia="宋体" w:cs="宋体"/>
                      <w:sz w:val="18"/>
                      <w:szCs w:val="18"/>
                    </w:rPr>
                    <w:t>加强对供应商的管理，定期对其进行评定，保证产品的质量100%合格；</w:t>
                  </w:r>
                </w:p>
                <w:p>
                  <w:pPr>
                    <w:numPr>
                      <w:ilvl w:val="0"/>
                      <w:numId w:val="3"/>
                    </w:numPr>
                    <w:spacing w:line="240" w:lineRule="auto"/>
                    <w:rPr>
                      <w:rFonts w:hint="eastAsia" w:ascii="宋体" w:hAnsi="宋体" w:eastAsia="宋体" w:cs="宋体"/>
                      <w:sz w:val="18"/>
                      <w:szCs w:val="18"/>
                      <w:lang w:val="en-GB"/>
                    </w:rPr>
                  </w:pPr>
                  <w:r>
                    <w:rPr>
                      <w:rFonts w:hint="eastAsia" w:ascii="宋体" w:hAnsi="宋体" w:eastAsia="宋体" w:cs="宋体"/>
                      <w:sz w:val="18"/>
                      <w:szCs w:val="18"/>
                    </w:rPr>
                    <w:t>加强成品检验，以确保成品交验质量合格。</w:t>
                  </w:r>
                </w:p>
              </w:tc>
              <w:tc>
                <w:tcPr>
                  <w:tcW w:w="970" w:type="dxa"/>
                  <w:shd w:val="clear" w:color="auto" w:fill="auto"/>
                  <w:vAlign w:val="center"/>
                </w:tcPr>
                <w:p>
                  <w:pPr>
                    <w:shd w:val="clear" w:color="auto" w:fill="C7DAF1" w:themeFill="text2" w:themeFillTint="32"/>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总经办</w:t>
                  </w:r>
                </w:p>
              </w:tc>
              <w:tc>
                <w:tcPr>
                  <w:tcW w:w="1597" w:type="dxa"/>
                  <w:shd w:val="clear" w:color="auto" w:fill="auto"/>
                  <w:vAlign w:val="center"/>
                </w:tcPr>
                <w:p>
                  <w:pPr>
                    <w:jc w:val="center"/>
                    <w:rPr>
                      <w:rFonts w:hint="eastAsia" w:ascii="宋体" w:hAnsi="宋体" w:eastAsia="宋体" w:cs="宋体"/>
                      <w:sz w:val="18"/>
                      <w:szCs w:val="18"/>
                      <w:lang w:val="en-GB"/>
                    </w:rPr>
                  </w:pPr>
                  <w:r>
                    <w:rPr>
                      <w:rFonts w:hint="eastAsia" w:ascii="宋体" w:hAnsi="宋体" w:eastAsia="宋体" w:cs="宋体"/>
                      <w:b/>
                      <w:bCs/>
                      <w:sz w:val="18"/>
                      <w:szCs w:val="1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顾客满意度≥95%</w:t>
                  </w:r>
                </w:p>
              </w:tc>
              <w:tc>
                <w:tcPr>
                  <w:tcW w:w="3693" w:type="dxa"/>
                  <w:shd w:val="clear" w:color="auto" w:fill="auto"/>
                  <w:vAlign w:val="top"/>
                </w:tcPr>
                <w:p>
                  <w:pPr>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1、销售部负责按顾客数量的50%每半年随机抽样，重要顾客100%发放,《顾客满意度调查表》。</w:t>
                  </w:r>
                </w:p>
                <w:p>
                  <w:pPr>
                    <w:adjustRightInd w:val="0"/>
                    <w:snapToGrid w:val="0"/>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2、对顾客满意度的测量进行加权分析，以保证分析结果的客观性的科学性；</w:t>
                  </w:r>
                </w:p>
                <w:p>
                  <w:pPr>
                    <w:adjustRightInd w:val="0"/>
                    <w:snapToGrid w:val="0"/>
                    <w:spacing w:line="240" w:lineRule="auto"/>
                    <w:rPr>
                      <w:rFonts w:hint="eastAsia" w:ascii="宋体" w:hAnsi="宋体" w:eastAsia="宋体" w:cs="宋体"/>
                      <w:sz w:val="18"/>
                      <w:szCs w:val="18"/>
                    </w:rPr>
                  </w:pPr>
                  <w:r>
                    <w:rPr>
                      <w:rFonts w:hint="eastAsia" w:ascii="宋体" w:hAnsi="宋体" w:eastAsia="宋体" w:cs="宋体"/>
                      <w:color w:val="000000"/>
                      <w:sz w:val="18"/>
                      <w:szCs w:val="18"/>
                    </w:rPr>
                    <w:t>3、分析得出定性或定量的结果，找出差距，并编制《顾客满意度调查结果及分析报告》并发放到各部并由相关部门开展改进活动采取纠正或预防措施。</w:t>
                  </w:r>
                </w:p>
              </w:tc>
              <w:tc>
                <w:tcPr>
                  <w:tcW w:w="970" w:type="dxa"/>
                  <w:shd w:val="clear" w:color="auto" w:fill="auto"/>
                  <w:vAlign w:val="center"/>
                </w:tcPr>
                <w:p>
                  <w:pPr>
                    <w:shd w:val="clear" w:color="auto" w:fill="C7DAF1" w:themeFill="text2" w:themeFillTint="32"/>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供销部</w:t>
                  </w:r>
                </w:p>
              </w:tc>
              <w:tc>
                <w:tcPr>
                  <w:tcW w:w="1597" w:type="dxa"/>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b/>
                      <w:bCs/>
                      <w:color w:val="000000"/>
                      <w:sz w:val="18"/>
                      <w:szCs w:val="18"/>
                    </w:rPr>
                    <w:t>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合同履约率100%</w:t>
                  </w:r>
                </w:p>
              </w:tc>
              <w:tc>
                <w:tcPr>
                  <w:tcW w:w="3693" w:type="dxa"/>
                  <w:shd w:val="clear" w:color="auto" w:fill="auto"/>
                  <w:vAlign w:val="top"/>
                </w:tcPr>
                <w:p>
                  <w:pPr>
                    <w:numPr>
                      <w:ilvl w:val="0"/>
                      <w:numId w:val="4"/>
                    </w:numPr>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加强合同评审；</w:t>
                  </w:r>
                </w:p>
                <w:p>
                  <w:pPr>
                    <w:numPr>
                      <w:ilvl w:val="0"/>
                      <w:numId w:val="4"/>
                    </w:numPr>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加强生产管理，保证按时保质保量完成任务；</w:t>
                  </w:r>
                </w:p>
                <w:p>
                  <w:pPr>
                    <w:numPr>
                      <w:ilvl w:val="0"/>
                      <w:numId w:val="4"/>
                    </w:numPr>
                    <w:spacing w:line="240" w:lineRule="auto"/>
                    <w:ind w:left="360" w:leftChars="0" w:hanging="360" w:firstLineChars="0"/>
                    <w:rPr>
                      <w:rFonts w:hint="eastAsia" w:ascii="宋体" w:hAnsi="宋体" w:eastAsia="宋体" w:cs="宋体"/>
                      <w:sz w:val="18"/>
                      <w:szCs w:val="18"/>
                    </w:rPr>
                  </w:pPr>
                  <w:r>
                    <w:rPr>
                      <w:rFonts w:hint="eastAsia" w:ascii="宋体" w:hAnsi="宋体" w:eastAsia="宋体" w:cs="宋体"/>
                      <w:color w:val="000000"/>
                      <w:sz w:val="18"/>
                      <w:szCs w:val="18"/>
                    </w:rPr>
                    <w:t>加强成品出厂合格率，保证顾客满意。</w:t>
                  </w:r>
                </w:p>
              </w:tc>
              <w:tc>
                <w:tcPr>
                  <w:tcW w:w="970" w:type="dxa"/>
                  <w:shd w:val="clear" w:color="auto" w:fill="auto"/>
                  <w:vAlign w:val="center"/>
                </w:tcPr>
                <w:p>
                  <w:pPr>
                    <w:shd w:val="clear" w:color="auto" w:fill="C7DAF1" w:themeFill="text2" w:themeFillTint="32"/>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供销部</w:t>
                  </w:r>
                </w:p>
              </w:tc>
              <w:tc>
                <w:tcPr>
                  <w:tcW w:w="1597" w:type="dxa"/>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b/>
                      <w:bCs/>
                      <w:sz w:val="18"/>
                      <w:szCs w:val="18"/>
                    </w:rPr>
                    <w:t>100%</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w:t>
            </w:r>
            <w:r>
              <w:rPr>
                <w:rFonts w:hint="eastAsia"/>
                <w:color w:val="auto"/>
                <w:lang w:val="en-US" w:eastAsia="zh-CN"/>
              </w:rPr>
              <w:t>32000平方米，</w:t>
            </w:r>
            <w:r>
              <w:rPr>
                <w:rFonts w:hint="eastAsia"/>
              </w:rPr>
              <w:t>生产车间</w:t>
            </w:r>
            <w:r>
              <w:rPr>
                <w:rFonts w:hint="eastAsia"/>
                <w:lang w:val="en-US" w:eastAsia="zh-CN"/>
              </w:rPr>
              <w:t>1</w:t>
            </w:r>
            <w:r>
              <w:rPr>
                <w:rFonts w:hint="eastAsia"/>
              </w:rPr>
              <w:t>个</w:t>
            </w:r>
            <w:r>
              <w:rPr>
                <w:rFonts w:hint="eastAsia"/>
                <w:lang w:val="en-US" w:eastAsia="zh-CN"/>
              </w:rPr>
              <w:t>区域</w:t>
            </w:r>
            <w:r>
              <w:rPr>
                <w:rFonts w:hint="eastAsia"/>
              </w:rPr>
              <w:t>；库房</w:t>
            </w:r>
            <w:r>
              <w:rPr>
                <w:rFonts w:hint="eastAsia"/>
                <w:lang w:val="en-US" w:eastAsia="zh-CN"/>
              </w:rPr>
              <w:t>1个区域</w:t>
            </w:r>
            <w:r>
              <w:rPr>
                <w:rFonts w:hint="eastAsia"/>
              </w:rPr>
              <w:t>个；实验室</w:t>
            </w:r>
            <w:r>
              <w:rPr>
                <w:rFonts w:hint="eastAsia"/>
                <w:lang w:val="en-US" w:eastAsia="zh-CN"/>
              </w:rPr>
              <w:t>1</w:t>
            </w:r>
            <w:r>
              <w:rPr>
                <w:rFonts w:hint="eastAsia"/>
              </w:rPr>
              <w:t>个；</w:t>
            </w:r>
          </w:p>
          <w:p>
            <w:pPr>
              <w:shd w:val="clear" w:color="auto" w:fill="C7DAF1" w:themeFill="text2" w:themeFillTint="32"/>
              <w:rPr>
                <w:rFonts w:hint="default" w:eastAsia="宋体"/>
                <w:u w:val="single"/>
                <w:lang w:val="en-US" w:eastAsia="zh-CN"/>
              </w:rPr>
            </w:pPr>
            <w:r>
              <w:rPr>
                <w:rFonts w:hint="eastAsia"/>
              </w:rPr>
              <w:t>主要生产设备有：</w:t>
            </w:r>
            <w:r>
              <w:rPr>
                <w:rFonts w:hint="eastAsia"/>
                <w:u w:val="single"/>
                <w:lang w:val="en-US" w:eastAsia="zh-CN"/>
              </w:rPr>
              <w:t>油漆线、砂光机、铣床、腻子机线</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rFonts w:hint="default" w:eastAsia="宋体"/>
                <w:u w:val="single"/>
                <w:lang w:val="en-US" w:eastAsia="zh-CN"/>
              </w:rPr>
            </w:pPr>
            <w:r>
              <w:rPr>
                <w:rFonts w:hint="eastAsia"/>
              </w:rPr>
              <w:t>国家强检的计量器具有：</w:t>
            </w:r>
            <w:r>
              <w:rPr>
                <w:rFonts w:hint="eastAsia"/>
                <w:u w:val="single"/>
                <w:lang w:val="en-US" w:eastAsia="zh-CN"/>
              </w:rPr>
              <w:t>压力表、钢卷尺、木材含水率测定仪、数显卡尺；</w:t>
            </w:r>
            <w:r>
              <w:rPr>
                <w:rFonts w:hint="eastAsia"/>
                <w:lang w:val="en-US" w:eastAsia="zh-CN"/>
              </w:rPr>
              <w:t xml:space="preserve"> </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通过招</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u w:val="single"/>
                <w:lang w:val="en-US" w:eastAsia="zh-CN"/>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highlight w:val="yellow"/>
              </w:rPr>
            </w:pPr>
            <w:r>
              <w:rPr>
                <w:rFonts w:hint="eastAsia"/>
              </w:rPr>
              <w:t>组织为对产品和服务提供满足的要求，已对产品和服务提供的过程（见4.4）进行策划、实施和控制。策划文件包括：</w:t>
            </w: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A3"/>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A3"/>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default" w:eastAsia="宋体"/>
                <w:lang w:val="en-US" w:eastAsia="zh-CN"/>
              </w:rPr>
            </w:pPr>
            <w:r>
              <w:rPr>
                <w:rFonts w:hint="eastAsia"/>
              </w:rPr>
              <w:t>审核期间内设计和开发新产品/项目名称：</w:t>
            </w:r>
            <w:r>
              <w:rPr>
                <w:rFonts w:hint="eastAsia"/>
                <w:lang w:val="en-US" w:eastAsia="zh-CN"/>
              </w:rPr>
              <w:t>竹木混合重竹板</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rPr>
                <w:rFonts w:hint="eastAsia" w:eastAsia="宋体"/>
                <w:lang w:eastAsia="zh-CN"/>
              </w:rPr>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rPr>
                <w:rFonts w:hint="eastAsia" w:eastAsia="宋体"/>
                <w:lang w:eastAsia="zh-CN"/>
              </w:rPr>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w:t>
            </w:r>
            <w:r>
              <w:rPr>
                <w:rFonts w:hint="eastAsia"/>
                <w:lang w:eastAsia="zh-CN"/>
              </w:rPr>
              <w:t>，</w:t>
            </w:r>
            <w:r>
              <w:rPr>
                <w:rFonts w:hint="eastAsia"/>
              </w:rPr>
              <w:t>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组织的生产和服务提供流程图（见第三条款），</w:t>
            </w:r>
          </w:p>
          <w:p>
            <w:pPr>
              <w:shd w:val="clear" w:color="auto" w:fill="C7DAF1" w:themeFill="text2" w:themeFillTint="32"/>
              <w:jc w:val="left"/>
              <w:rPr>
                <w:color w:val="auto"/>
              </w:rPr>
            </w:pPr>
            <w:r>
              <w:rPr>
                <w:rFonts w:hint="eastAsia"/>
                <w:color w:val="auto"/>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hint="eastAsia"/>
                      <w:color w:val="auto"/>
                    </w:rPr>
                    <w:t>产品/服务名称</w:t>
                  </w:r>
                </w:p>
              </w:tc>
              <w:tc>
                <w:tcPr>
                  <w:tcW w:w="3665" w:type="dxa"/>
                </w:tcPr>
                <w:p>
                  <w:pPr>
                    <w:shd w:val="clear" w:color="auto" w:fill="C7DAF1" w:themeFill="text2" w:themeFillTint="32"/>
                    <w:jc w:val="left"/>
                    <w:rPr>
                      <w:color w:val="auto"/>
                    </w:rPr>
                  </w:pPr>
                  <w:r>
                    <w:rPr>
                      <w:rFonts w:hint="eastAsia"/>
                      <w:color w:val="auto"/>
                    </w:rPr>
                    <w:t>关键过程</w:t>
                  </w:r>
                </w:p>
              </w:tc>
              <w:tc>
                <w:tcPr>
                  <w:tcW w:w="3265"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color w:val="auto"/>
                      <w:lang w:val="en-US" w:eastAsia="zh-CN"/>
                    </w:rPr>
                  </w:pPr>
                  <w:r>
                    <w:rPr>
                      <w:rFonts w:hint="eastAsia"/>
                      <w:color w:val="auto"/>
                      <w:lang w:val="en-US" w:eastAsia="zh-CN"/>
                    </w:rPr>
                    <w:t>重组竹地板</w:t>
                  </w:r>
                </w:p>
              </w:tc>
              <w:tc>
                <w:tcPr>
                  <w:tcW w:w="3665" w:type="dxa"/>
                </w:tcPr>
                <w:p>
                  <w:pPr>
                    <w:shd w:val="clear" w:color="auto" w:fill="C7DAF1" w:themeFill="text2" w:themeFillTint="32"/>
                    <w:jc w:val="left"/>
                    <w:rPr>
                      <w:rFonts w:hint="default" w:eastAsia="宋体"/>
                      <w:color w:val="auto"/>
                      <w:lang w:val="en-US" w:eastAsia="zh-CN"/>
                    </w:rPr>
                  </w:pPr>
                  <w:r>
                    <w:rPr>
                      <w:rFonts w:hint="eastAsia"/>
                      <w:color w:val="auto"/>
                      <w:lang w:val="en-US" w:eastAsia="zh-CN"/>
                    </w:rPr>
                    <w:t>压厚</w:t>
                  </w:r>
                </w:p>
              </w:tc>
              <w:tc>
                <w:tcPr>
                  <w:tcW w:w="3265" w:type="dxa"/>
                </w:tcPr>
                <w:p>
                  <w:pPr>
                    <w:shd w:val="clear" w:color="auto" w:fill="C7DAF1" w:themeFill="text2" w:themeFillTint="32"/>
                    <w:jc w:val="left"/>
                    <w:rPr>
                      <w:color w:val="auto"/>
                    </w:rPr>
                  </w:pPr>
                  <w:r>
                    <w:rPr>
                      <w:rFonts w:hint="eastAsia" w:eastAsia="宋体"/>
                      <w:lang w:val="en-US" w:eastAsia="zh-CN"/>
                    </w:rPr>
                    <w:t>①表面无露砂和砂削痕迹；②坯板厚度为成品地板厚度+（1—1.5）mm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p>
              </w:tc>
              <w:tc>
                <w:tcPr>
                  <w:tcW w:w="3665" w:type="dxa"/>
                </w:tcPr>
                <w:p>
                  <w:pPr>
                    <w:shd w:val="clear" w:color="auto" w:fill="C7DAF1" w:themeFill="text2" w:themeFillTint="32"/>
                    <w:jc w:val="left"/>
                    <w:rPr>
                      <w:rFonts w:hint="eastAsia" w:eastAsia="宋体"/>
                      <w:color w:val="auto"/>
                      <w:lang w:val="en-US" w:eastAsia="zh-CN"/>
                    </w:rPr>
                  </w:pPr>
                  <w:r>
                    <w:rPr>
                      <w:rFonts w:hint="eastAsia"/>
                      <w:color w:val="auto"/>
                      <w:lang w:val="en-US" w:eastAsia="zh-CN"/>
                    </w:rPr>
                    <w:t>油漆</w:t>
                  </w:r>
                </w:p>
              </w:tc>
              <w:tc>
                <w:tcPr>
                  <w:tcW w:w="3265" w:type="dxa"/>
                </w:tcPr>
                <w:p>
                  <w:pPr>
                    <w:shd w:val="clear" w:color="auto" w:fill="C7DAF1" w:themeFill="text2" w:themeFillTint="32"/>
                    <w:jc w:val="left"/>
                    <w:rPr>
                      <w:color w:val="auto"/>
                    </w:rPr>
                  </w:pPr>
                  <w:r>
                    <w:rPr>
                      <w:rFonts w:hint="eastAsia"/>
                      <w:color w:val="auto"/>
                      <w:lang w:val="en-US" w:eastAsia="zh-CN"/>
                    </w:rPr>
                    <w:t>①速度：12-14m/min；②工艺尺寸：厚度尺寸=成品规格±0.1mm；</w:t>
                  </w:r>
                </w:p>
              </w:tc>
            </w:tr>
          </w:tbl>
          <w:p>
            <w:pPr>
              <w:shd w:val="clear" w:color="auto" w:fill="C7DAF1" w:themeFill="text2" w:themeFillTint="32"/>
              <w:jc w:val="left"/>
            </w:pPr>
            <w:r>
              <w:rPr>
                <w:rFonts w:hint="eastAsia"/>
              </w:rPr>
              <w:t>需要确认的过程：</w:t>
            </w:r>
            <w:r>
              <w:rPr>
                <w:rFonts w:hint="eastAsia"/>
                <w:lang w:val="en-US" w:eastAsia="zh-CN"/>
              </w:rPr>
              <w:t>油漆</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rPr>
                <w:rFonts w:hint="eastAsia" w:eastAsia="宋体"/>
                <w:lang w:eastAsia="zh-CN"/>
              </w:rPr>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sym w:font="Wingdings 2" w:char="0052"/>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sym w:font="Wingdings 2" w:char="00A3"/>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52"/>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val="en-US" w:eastAsia="zh-CN"/>
              </w:rPr>
              <w:t>2021ZZW-126；检测单位：安吉县质量技术监督检测中心；样品名称：室内本色重竹地板；检测结论：符合GB/T 30364-2013《重组竹地板》判定要求；检测日期：2021年7月14日至2021年7月15日</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宋体" w:hAnsi="宋体" w:eastAsia="宋体"/>
                <w:color w:val="000000"/>
                <w:sz w:val="21"/>
                <w:szCs w:val="21"/>
                <w:u w:val="single"/>
                <w:lang w:val="en-US" w:eastAsia="zh-CN"/>
              </w:rPr>
              <w:t>2021年7月28日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679"/>
        <w:gridCol w:w="9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w:t>
            </w:r>
            <w:r>
              <w:rPr>
                <w:rFonts w:hint="eastAsia"/>
              </w:rPr>
              <w:sym w:font="Wingdings 2" w:char="00A3"/>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A3"/>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危险废物处置□消防检测□生产/服务过程</w:t>
            </w:r>
            <w:r>
              <w:rPr>
                <w:rFonts w:hint="eastAsia"/>
              </w:rPr>
              <w:sym w:font="Wingdings 2" w:char="0052"/>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A3"/>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ascii="宋体" w:hAnsi="宋体" w:cs="宋体"/>
                <w:szCs w:val="21"/>
              </w:rPr>
              <w:t>精心制作、提升品质、立足市场、顾客满意；规范操作，减少环境污染</w:t>
            </w:r>
            <w:r>
              <w:rPr>
                <w:rFonts w:hint="eastAsia" w:ascii="宋体" w:hAnsi="宋体" w:cs="宋体"/>
                <w:szCs w:val="21"/>
                <w:lang w:eastAsia="zh-CN"/>
              </w:rPr>
              <w:t>；</w:t>
            </w:r>
            <w:r>
              <w:rPr>
                <w:rFonts w:hint="eastAsia" w:ascii="宋体" w:hAnsi="宋体" w:cs="宋体"/>
                <w:szCs w:val="21"/>
              </w:rPr>
              <w:t>关爱生命，预防安全事故</w:t>
            </w:r>
            <w:r>
              <w:rPr>
                <w:rFonts w:hint="eastAsia" w:ascii="宋体" w:hAnsi="宋体" w:cs="宋体"/>
                <w:szCs w:val="21"/>
                <w:lang w:eastAsia="zh-CN"/>
              </w:rPr>
              <w:t>；</w:t>
            </w:r>
            <w:r>
              <w:rPr>
                <w:rFonts w:hint="eastAsia" w:ascii="宋体" w:hAnsi="宋体" w:cs="宋体"/>
                <w:szCs w:val="21"/>
              </w:rPr>
              <w:t>遵纪守法，追求不断改进。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总经办</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噪声的排放</w:t>
                  </w:r>
                </w:p>
              </w:tc>
              <w:tc>
                <w:tcPr>
                  <w:tcW w:w="3965"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管理方案/环境影响运行控制程序</w:t>
                  </w:r>
                </w:p>
              </w:tc>
              <w:tc>
                <w:tcPr>
                  <w:tcW w:w="1717" w:type="dxa"/>
                </w:tcPr>
                <w:p>
                  <w:pPr>
                    <w:shd w:val="clear" w:color="auto" w:fill="EBF1DE" w:themeFill="accent3" w:themeFillTint="32"/>
                    <w:jc w:val="cente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废水的排放</w:t>
                  </w:r>
                </w:p>
              </w:tc>
              <w:tc>
                <w:tcPr>
                  <w:tcW w:w="3965"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管理方案/环境影响运行控制程序</w:t>
                  </w:r>
                </w:p>
              </w:tc>
              <w:tc>
                <w:tcPr>
                  <w:tcW w:w="1717" w:type="dxa"/>
                </w:tcPr>
                <w:p>
                  <w:pPr>
                    <w:shd w:val="clear" w:color="auto" w:fill="EBF1DE" w:themeFill="accent3" w:themeFillTint="32"/>
                    <w:jc w:val="cente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废气的排放</w:t>
                  </w:r>
                </w:p>
              </w:tc>
              <w:tc>
                <w:tcPr>
                  <w:tcW w:w="3965"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管理方案/环境影响运行控制控制程序</w:t>
                  </w:r>
                </w:p>
              </w:tc>
              <w:tc>
                <w:tcPr>
                  <w:tcW w:w="1717" w:type="dxa"/>
                </w:tcPr>
                <w:p>
                  <w:pPr>
                    <w:shd w:val="clear" w:color="auto" w:fill="EBF1DE" w:themeFill="accent3" w:themeFillTint="32"/>
                    <w:jc w:val="cente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资源的消耗</w:t>
                  </w:r>
                </w:p>
              </w:tc>
              <w:tc>
                <w:tcPr>
                  <w:tcW w:w="3965"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运行控制</w:t>
                  </w:r>
                </w:p>
              </w:tc>
              <w:tc>
                <w:tcPr>
                  <w:tcW w:w="1717" w:type="dxa"/>
                </w:tcPr>
                <w:p>
                  <w:pPr>
                    <w:shd w:val="clear" w:color="auto" w:fill="EBF1DE" w:themeFill="accent3" w:themeFillTint="32"/>
                    <w:jc w:val="cente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潜在火灾事故的发生</w:t>
                  </w:r>
                </w:p>
              </w:tc>
              <w:tc>
                <w:tcPr>
                  <w:tcW w:w="0" w:type="auto"/>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管理方案/应急准备和响应控制程序</w:t>
                  </w:r>
                </w:p>
              </w:tc>
              <w:tc>
                <w:tcPr>
                  <w:tcW w:w="0" w:type="auto"/>
                </w:tcPr>
                <w:p>
                  <w:pPr>
                    <w:shd w:val="clear" w:color="auto" w:fill="EBF1DE" w:themeFill="accent3" w:themeFillTint="32"/>
                    <w:jc w:val="cente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危废弃物的排放</w:t>
                  </w:r>
                </w:p>
              </w:tc>
              <w:tc>
                <w:tcPr>
                  <w:tcW w:w="0" w:type="auto"/>
                </w:tcPr>
                <w:p>
                  <w:pPr>
                    <w:shd w:val="clear" w:color="auto" w:fill="EBF1DE" w:themeFill="accent3" w:themeFillTint="32"/>
                  </w:pPr>
                  <w:r>
                    <w:rPr>
                      <w:rFonts w:hint="eastAsia" w:ascii="宋体" w:hAnsi="宋体" w:eastAsia="宋体" w:cs="宋体"/>
                      <w:sz w:val="21"/>
                      <w:szCs w:val="21"/>
                    </w:rPr>
                    <w:t>管理方案/环境影响运行控制程序</w:t>
                  </w:r>
                </w:p>
              </w:tc>
              <w:tc>
                <w:tcPr>
                  <w:tcW w:w="0" w:type="auto"/>
                </w:tcPr>
                <w:p>
                  <w:pPr>
                    <w:shd w:val="clear" w:color="auto" w:fill="EBF1DE" w:themeFill="accent3" w:themeFillTint="32"/>
                    <w:jc w:val="cente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52"/>
            </w:r>
            <w:r>
              <w:rPr>
                <w:rFonts w:hint="eastAsia"/>
              </w:rPr>
              <w:t>粉尘排放</w:t>
            </w:r>
            <w:r>
              <w:rPr>
                <w:rFonts w:hint="eastAsia"/>
              </w:rPr>
              <w:sym w:font="Wingdings 2" w:char="0052"/>
            </w:r>
            <w:r>
              <w:rPr>
                <w:rFonts w:hint="eastAsia"/>
              </w:rPr>
              <w:t>危废排放</w:t>
            </w:r>
            <w:r>
              <w:rPr>
                <w:rFonts w:hint="eastAsia"/>
              </w:rPr>
              <w:sym w:font="Wingdings 2" w:char="0052"/>
            </w:r>
            <w:r>
              <w:rPr>
                <w:rFonts w:hint="eastAsia"/>
              </w:rPr>
              <w:t>噪声排放</w:t>
            </w:r>
            <w:r>
              <w:rPr>
                <w:rFonts w:hint="eastAsia"/>
              </w:rPr>
              <w:sym w:font="Wingdings 2" w:char="0052"/>
            </w:r>
            <w:r>
              <w:rPr>
                <w:rFonts w:hint="eastAsia"/>
              </w:rPr>
              <w:t>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eastAsia="宋体"/>
                <w:lang w:val="en-US" w:eastAsia="zh-CN"/>
              </w:rPr>
            </w:pPr>
            <w:r>
              <w:rPr>
                <w:rFonts w:hint="eastAsia"/>
              </w:rPr>
              <w:sym w:font="Wingdings 2" w:char="0052"/>
            </w:r>
            <w:r>
              <w:rPr>
                <w:rFonts w:hint="eastAsia"/>
              </w:rPr>
              <w:t>排污许可证编号：</w:t>
            </w:r>
            <w:r>
              <w:rPr>
                <w:rFonts w:hint="eastAsia"/>
                <w:lang w:val="en-US" w:eastAsia="zh-CN"/>
              </w:rPr>
              <w:t>91330523733232706M002U</w:t>
            </w:r>
          </w:p>
          <w:p>
            <w:pPr>
              <w:shd w:val="clear" w:color="auto" w:fill="EBF1DE" w:themeFill="accent3" w:themeFillTint="32"/>
            </w:pPr>
            <w:r>
              <w:rPr>
                <w:rFonts w:hint="eastAsia"/>
              </w:rPr>
              <w:sym w:font="Wingdings 2" w:char="00A3"/>
            </w:r>
            <w:r>
              <w:rPr>
                <w:rFonts w:hint="eastAsia"/>
              </w:rPr>
              <w:t>环境影响登记表日期：</w:t>
            </w:r>
          </w:p>
          <w:p>
            <w:pPr>
              <w:shd w:val="clear" w:color="auto" w:fill="EBF1DE" w:themeFill="accent3" w:themeFillTint="32"/>
            </w:pPr>
            <w:r>
              <w:rPr>
                <w:rFonts w:hint="eastAsia"/>
              </w:rPr>
              <w:sym w:font="Wingdings 2" w:char="00A3"/>
            </w:r>
            <w:r>
              <w:rPr>
                <w:rFonts w:hint="eastAsia"/>
              </w:rPr>
              <w:t>环境影响报告表日期：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环境影响报告书日期：</w:t>
            </w:r>
            <w:r>
              <w:rPr>
                <w:rFonts w:hint="eastAsia"/>
                <w:lang w:val="en-US" w:eastAsia="zh-CN"/>
              </w:rPr>
              <w:t>2016年3月</w:t>
            </w:r>
            <w:bookmarkStart w:id="34" w:name="_GoBack"/>
            <w:bookmarkEnd w:id="34"/>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w:t>
            </w:r>
            <w:r>
              <w:rPr>
                <w:rFonts w:hint="eastAsia"/>
              </w:rPr>
              <w:sym w:font="Wingdings 2" w:char="0052"/>
            </w:r>
            <w:r>
              <w:rPr>
                <w:rFonts w:hint="eastAsia"/>
              </w:rPr>
              <w:t>除尘设备□设备降噪</w:t>
            </w:r>
            <w:r>
              <w:rPr>
                <w:rFonts w:hint="eastAsia"/>
              </w:rPr>
              <w:sym w:font="Wingdings 2" w:char="0052"/>
            </w:r>
            <w:r>
              <w:rPr>
                <w:rFonts w:hint="eastAsia"/>
              </w:rPr>
              <w:t>危废合法处置□使用节能设备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4"/>
              <w:gridCol w:w="281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81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dxa"/>
                  <w:shd w:val="clear" w:color="auto" w:fill="auto"/>
                  <w:vAlign w:val="center"/>
                </w:tcPr>
                <w:p>
                  <w:pPr>
                    <w:shd w:val="clear" w:color="auto" w:fill="EBF1DE" w:themeFill="accent3" w:themeFillTint="32"/>
                    <w:rPr>
                      <w:rFonts w:hint="eastAsia" w:ascii="黑体" w:hAnsi="黑体" w:eastAsia="黑体" w:cs="黑体"/>
                      <w:sz w:val="18"/>
                      <w:szCs w:val="18"/>
                    </w:rPr>
                  </w:pPr>
                  <w:r>
                    <w:rPr>
                      <w:rFonts w:hint="eastAsia" w:ascii="黑体" w:hAnsi="黑体" w:eastAsia="黑体" w:cs="黑体"/>
                      <w:sz w:val="18"/>
                      <w:szCs w:val="18"/>
                    </w:rPr>
                    <w:t>各类废弃物按规定处置100%</w:t>
                  </w:r>
                </w:p>
                <w:p>
                  <w:pPr>
                    <w:shd w:val="clear" w:color="auto" w:fill="EBF1DE" w:themeFill="accent3" w:themeFillTint="32"/>
                    <w:rPr>
                      <w:rFonts w:hint="eastAsia" w:ascii="黑体" w:hAnsi="黑体" w:eastAsia="黑体" w:cs="黑体"/>
                      <w:sz w:val="18"/>
                      <w:szCs w:val="18"/>
                    </w:rPr>
                  </w:pPr>
                </w:p>
              </w:tc>
              <w:tc>
                <w:tcPr>
                  <w:tcW w:w="2813" w:type="dxa"/>
                  <w:shd w:val="clear" w:color="auto" w:fill="auto"/>
                  <w:vAlign w:val="center"/>
                </w:tcPr>
                <w:p>
                  <w:pPr>
                    <w:shd w:val="clear" w:color="auto" w:fill="EBF1DE" w:themeFill="accent3" w:themeFillTint="32"/>
                    <w:rPr>
                      <w:rFonts w:hint="eastAsia" w:ascii="黑体" w:hAnsi="黑体" w:eastAsia="黑体" w:cs="黑体"/>
                      <w:sz w:val="18"/>
                      <w:szCs w:val="18"/>
                    </w:rPr>
                  </w:pPr>
                  <w:r>
                    <w:rPr>
                      <w:rFonts w:hint="eastAsia" w:ascii="黑体" w:hAnsi="黑体" w:eastAsia="黑体" w:cs="黑体"/>
                      <w:sz w:val="18"/>
                      <w:szCs w:val="18"/>
                      <w:lang w:val="en-US" w:eastAsia="zh-CN"/>
                    </w:rPr>
                    <w:t>1.</w:t>
                  </w:r>
                  <w:r>
                    <w:rPr>
                      <w:rFonts w:hint="eastAsia" w:ascii="黑体" w:hAnsi="黑体" w:eastAsia="黑体" w:cs="黑体"/>
                      <w:sz w:val="18"/>
                      <w:szCs w:val="18"/>
                    </w:rPr>
                    <w:t>对员工进行程序和作业标准培训教育</w:t>
                  </w:r>
                </w:p>
                <w:p>
                  <w:pPr>
                    <w:shd w:val="clear" w:color="auto" w:fill="EBF1DE" w:themeFill="accent3" w:themeFillTint="32"/>
                    <w:rPr>
                      <w:rFonts w:hint="eastAsia" w:ascii="黑体" w:hAnsi="黑体" w:eastAsia="黑体" w:cs="黑体"/>
                      <w:sz w:val="18"/>
                      <w:szCs w:val="18"/>
                      <w:lang w:val="en-GB" w:eastAsia="zh-CN"/>
                    </w:rPr>
                  </w:pPr>
                  <w:r>
                    <w:rPr>
                      <w:rFonts w:hint="eastAsia" w:ascii="黑体" w:hAnsi="黑体" w:eastAsia="黑体" w:cs="黑体"/>
                      <w:sz w:val="18"/>
                      <w:szCs w:val="18"/>
                      <w:lang w:val="en-US" w:eastAsia="zh-CN"/>
                    </w:rPr>
                    <w:t>2.</w:t>
                  </w:r>
                  <w:r>
                    <w:rPr>
                      <w:rFonts w:hint="eastAsia" w:ascii="黑体" w:hAnsi="黑体" w:eastAsia="黑体" w:cs="黑体"/>
                      <w:sz w:val="18"/>
                      <w:szCs w:val="18"/>
                    </w:rPr>
                    <w:t>各类废弃物按垃圾分类处置</w:t>
                  </w:r>
                </w:p>
              </w:tc>
              <w:tc>
                <w:tcPr>
                  <w:tcW w:w="1350" w:type="dxa"/>
                  <w:shd w:val="clear" w:color="auto" w:fill="auto"/>
                  <w:vAlign w:val="center"/>
                </w:tcPr>
                <w:p>
                  <w:pPr>
                    <w:shd w:val="clear" w:color="auto" w:fill="EBF1DE" w:themeFill="accent3" w:themeFillTint="32"/>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各部门</w:t>
                  </w:r>
                </w:p>
              </w:tc>
              <w:tc>
                <w:tcPr>
                  <w:tcW w:w="1774" w:type="dxa"/>
                  <w:shd w:val="clear" w:color="auto" w:fill="auto"/>
                  <w:vAlign w:val="center"/>
                </w:tcPr>
                <w:p>
                  <w:pPr>
                    <w:shd w:val="clear" w:color="auto" w:fill="EBF1DE" w:themeFill="accent3" w:themeFillTint="32"/>
                    <w:jc w:val="center"/>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dxa"/>
                  <w:shd w:val="clear" w:color="auto" w:fill="auto"/>
                </w:tcPr>
                <w:p>
                  <w:pPr>
                    <w:shd w:val="clear" w:color="auto" w:fill="EBF1DE" w:themeFill="accent3" w:themeFillTint="32"/>
                    <w:rPr>
                      <w:rFonts w:hint="eastAsia" w:ascii="黑体" w:hAnsi="黑体" w:eastAsia="黑体" w:cs="黑体"/>
                      <w:sz w:val="18"/>
                      <w:szCs w:val="18"/>
                    </w:rPr>
                  </w:pPr>
                  <w:r>
                    <w:rPr>
                      <w:rFonts w:hint="eastAsia" w:ascii="黑体" w:hAnsi="黑体" w:eastAsia="黑体" w:cs="黑体"/>
                      <w:sz w:val="18"/>
                      <w:szCs w:val="18"/>
                    </w:rPr>
                    <w:t>《工业企业厂界噪声标准》达标</w:t>
                  </w:r>
                </w:p>
              </w:tc>
              <w:tc>
                <w:tcPr>
                  <w:tcW w:w="2813" w:type="dxa"/>
                  <w:shd w:val="clear" w:color="auto" w:fill="auto"/>
                  <w:vAlign w:val="center"/>
                </w:tcPr>
                <w:p>
                  <w:pPr>
                    <w:shd w:val="clear" w:color="auto" w:fill="EBF1DE" w:themeFill="accent3" w:themeFillTint="32"/>
                    <w:rPr>
                      <w:rFonts w:hint="eastAsia" w:ascii="黑体" w:hAnsi="黑体" w:eastAsia="黑体" w:cs="黑体"/>
                      <w:sz w:val="18"/>
                      <w:szCs w:val="18"/>
                    </w:rPr>
                  </w:pPr>
                  <w:r>
                    <w:rPr>
                      <w:rFonts w:hint="eastAsia" w:ascii="黑体" w:hAnsi="黑体" w:eastAsia="黑体" w:cs="黑体"/>
                      <w:sz w:val="18"/>
                      <w:szCs w:val="18"/>
                    </w:rPr>
                    <w:t>1.做好各种设备的维修保养，降低机械噪音。</w:t>
                  </w:r>
                </w:p>
                <w:p>
                  <w:pPr>
                    <w:shd w:val="clear" w:color="auto" w:fill="EBF1DE" w:themeFill="accent3" w:themeFillTint="32"/>
                    <w:rPr>
                      <w:rFonts w:hint="eastAsia" w:ascii="黑体" w:hAnsi="黑体" w:eastAsia="黑体" w:cs="黑体"/>
                      <w:sz w:val="18"/>
                      <w:szCs w:val="18"/>
                      <w:lang w:val="en-US" w:eastAsia="zh-CN"/>
                    </w:rPr>
                  </w:pPr>
                  <w:r>
                    <w:rPr>
                      <w:rFonts w:hint="eastAsia" w:ascii="黑体" w:hAnsi="黑体" w:eastAsia="黑体" w:cs="黑体"/>
                      <w:sz w:val="18"/>
                      <w:szCs w:val="18"/>
                    </w:rPr>
                    <w:t>2.定期委托监测部门对厂界噪声进行监测，发现异常，马上分析原因，采取措施。</w:t>
                  </w:r>
                </w:p>
              </w:tc>
              <w:tc>
                <w:tcPr>
                  <w:tcW w:w="1350" w:type="dxa"/>
                  <w:shd w:val="clear" w:color="auto" w:fill="auto"/>
                  <w:vAlign w:val="center"/>
                </w:tcPr>
                <w:p>
                  <w:pPr>
                    <w:shd w:val="clear" w:color="auto" w:fill="EBF1DE" w:themeFill="accent3" w:themeFillTint="32"/>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生产部</w:t>
                  </w:r>
                </w:p>
              </w:tc>
              <w:tc>
                <w:tcPr>
                  <w:tcW w:w="1774" w:type="dxa"/>
                  <w:shd w:val="clear" w:color="auto" w:fill="auto"/>
                  <w:vAlign w:val="center"/>
                </w:tcPr>
                <w:p>
                  <w:pPr>
                    <w:shd w:val="clear" w:color="auto" w:fill="EBF1DE" w:themeFill="accent3" w:themeFillTint="32"/>
                    <w:jc w:val="center"/>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dxa"/>
                  <w:shd w:val="clear" w:color="auto" w:fill="auto"/>
                </w:tcPr>
                <w:p>
                  <w:pPr>
                    <w:shd w:val="clear" w:color="auto" w:fill="EBF1DE" w:themeFill="accent3" w:themeFillTint="32"/>
                    <w:rPr>
                      <w:rFonts w:hint="eastAsia" w:ascii="黑体" w:hAnsi="黑体" w:eastAsia="黑体" w:cs="黑体"/>
                      <w:sz w:val="18"/>
                      <w:szCs w:val="18"/>
                    </w:rPr>
                  </w:pPr>
                  <w:r>
                    <w:rPr>
                      <w:rFonts w:hint="eastAsia" w:ascii="黑体" w:hAnsi="黑体" w:eastAsia="黑体" w:cs="黑体"/>
                      <w:sz w:val="18"/>
                      <w:szCs w:val="18"/>
                    </w:rPr>
                    <w:t>《大气污染物综合排放标准》达标</w:t>
                  </w:r>
                </w:p>
                <w:p>
                  <w:pPr>
                    <w:shd w:val="clear" w:color="auto" w:fill="EBF1DE" w:themeFill="accent3" w:themeFillTint="32"/>
                    <w:rPr>
                      <w:rFonts w:hint="eastAsia" w:ascii="黑体" w:hAnsi="黑体" w:eastAsia="黑体" w:cs="黑体"/>
                      <w:sz w:val="18"/>
                      <w:szCs w:val="18"/>
                    </w:rPr>
                  </w:pPr>
                </w:p>
              </w:tc>
              <w:tc>
                <w:tcPr>
                  <w:tcW w:w="2813" w:type="dxa"/>
                  <w:shd w:val="clear" w:color="auto" w:fill="auto"/>
                  <w:vAlign w:val="center"/>
                </w:tcPr>
                <w:p>
                  <w:pPr>
                    <w:shd w:val="clear" w:color="auto" w:fill="EBF1DE" w:themeFill="accent3" w:themeFillTint="32"/>
                    <w:rPr>
                      <w:rFonts w:hint="eastAsia" w:ascii="黑体" w:hAnsi="黑体" w:eastAsia="黑体" w:cs="黑体"/>
                      <w:sz w:val="18"/>
                      <w:szCs w:val="18"/>
                    </w:rPr>
                  </w:pPr>
                  <w:r>
                    <w:rPr>
                      <w:rFonts w:hint="eastAsia" w:ascii="黑体" w:hAnsi="黑体" w:eastAsia="黑体" w:cs="黑体"/>
                      <w:sz w:val="18"/>
                      <w:szCs w:val="18"/>
                      <w:lang w:val="en-US" w:eastAsia="zh-CN"/>
                    </w:rPr>
                    <w:t>1.</w:t>
                  </w:r>
                  <w:r>
                    <w:rPr>
                      <w:rFonts w:hint="eastAsia" w:ascii="黑体" w:hAnsi="黑体" w:eastAsia="黑体" w:cs="黑体"/>
                      <w:sz w:val="18"/>
                      <w:szCs w:val="18"/>
                    </w:rPr>
                    <w:t>确保环保设施有效；</w:t>
                  </w:r>
                </w:p>
                <w:p>
                  <w:pPr>
                    <w:shd w:val="clear" w:color="auto" w:fill="EBF1DE" w:themeFill="accent3" w:themeFillTint="32"/>
                    <w:rPr>
                      <w:rFonts w:hint="eastAsia" w:ascii="黑体" w:hAnsi="黑体" w:eastAsia="黑体" w:cs="黑体"/>
                      <w:sz w:val="18"/>
                      <w:szCs w:val="18"/>
                      <w:lang w:eastAsia="zh-CN"/>
                    </w:rPr>
                  </w:pPr>
                  <w:r>
                    <w:rPr>
                      <w:rFonts w:hint="eastAsia" w:ascii="黑体" w:hAnsi="黑体" w:eastAsia="黑体" w:cs="黑体"/>
                      <w:sz w:val="18"/>
                      <w:szCs w:val="18"/>
                      <w:lang w:val="en-US" w:eastAsia="zh-CN"/>
                    </w:rPr>
                    <w:t>2.</w:t>
                  </w:r>
                  <w:r>
                    <w:rPr>
                      <w:rFonts w:hint="eastAsia" w:ascii="黑体" w:hAnsi="黑体" w:eastAsia="黑体" w:cs="黑体"/>
                      <w:sz w:val="18"/>
                      <w:szCs w:val="18"/>
                    </w:rPr>
                    <w:t>增加绿化面积，种植树、花、草皮等</w:t>
                  </w:r>
                  <w:r>
                    <w:rPr>
                      <w:rFonts w:hint="eastAsia" w:ascii="黑体" w:hAnsi="黑体" w:eastAsia="黑体" w:cs="黑体"/>
                      <w:sz w:val="18"/>
                      <w:szCs w:val="18"/>
                      <w:lang w:eastAsia="zh-CN"/>
                    </w:rPr>
                    <w:t>；</w:t>
                  </w:r>
                </w:p>
                <w:p>
                  <w:pPr>
                    <w:shd w:val="clear" w:color="auto" w:fill="EBF1DE" w:themeFill="accent3" w:themeFillTint="32"/>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3.按照环评批复要求做好废气处理工作。</w:t>
                  </w:r>
                </w:p>
              </w:tc>
              <w:tc>
                <w:tcPr>
                  <w:tcW w:w="1350" w:type="dxa"/>
                  <w:shd w:val="clear" w:color="auto" w:fill="auto"/>
                  <w:vAlign w:val="center"/>
                </w:tcPr>
                <w:p>
                  <w:pPr>
                    <w:shd w:val="clear" w:color="auto" w:fill="EBF1DE" w:themeFill="accent3" w:themeFillTint="32"/>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黑体" w:hAnsi="黑体" w:eastAsia="黑体" w:cs="黑体"/>
                      <w:sz w:val="18"/>
                      <w:szCs w:val="18"/>
                    </w:rPr>
                  </w:pPr>
                  <w:r>
                    <w:rPr>
                      <w:rFonts w:hint="eastAsia" w:ascii="黑体" w:hAnsi="黑体" w:eastAsia="黑体" w:cs="黑体"/>
                      <w:sz w:val="18"/>
                      <w:szCs w:val="18"/>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dxa"/>
                  <w:shd w:val="clear" w:color="auto" w:fill="auto"/>
                </w:tcPr>
                <w:p>
                  <w:pPr>
                    <w:shd w:val="clear" w:color="auto" w:fill="EBF1DE" w:themeFill="accent3" w:themeFillTint="32"/>
                    <w:rPr>
                      <w:rFonts w:hint="eastAsia" w:ascii="黑体" w:hAnsi="黑体" w:eastAsia="黑体" w:cs="黑体"/>
                      <w:sz w:val="18"/>
                      <w:szCs w:val="18"/>
                    </w:rPr>
                  </w:pPr>
                  <w:r>
                    <w:rPr>
                      <w:rFonts w:hint="eastAsia" w:ascii="黑体" w:hAnsi="黑体" w:eastAsia="黑体" w:cs="黑体"/>
                      <w:sz w:val="18"/>
                      <w:szCs w:val="18"/>
                    </w:rPr>
                    <w:t>《污水综合排放标准》达标</w:t>
                  </w:r>
                </w:p>
              </w:tc>
              <w:tc>
                <w:tcPr>
                  <w:tcW w:w="2813" w:type="dxa"/>
                  <w:shd w:val="clear" w:color="auto" w:fill="auto"/>
                  <w:vAlign w:val="center"/>
                </w:tcPr>
                <w:p>
                  <w:pPr>
                    <w:shd w:val="clear" w:color="auto" w:fill="EBF1DE" w:themeFill="accent3" w:themeFillTint="32"/>
                    <w:rPr>
                      <w:rFonts w:hint="eastAsia" w:ascii="黑体" w:hAnsi="黑体" w:eastAsia="黑体" w:cs="黑体"/>
                      <w:sz w:val="18"/>
                      <w:szCs w:val="18"/>
                    </w:rPr>
                  </w:pPr>
                  <w:r>
                    <w:rPr>
                      <w:rFonts w:hint="eastAsia" w:ascii="黑体" w:hAnsi="黑体" w:eastAsia="黑体" w:cs="黑体"/>
                      <w:sz w:val="18"/>
                      <w:szCs w:val="18"/>
                    </w:rPr>
                    <w:t>1.严格控制生活污水排放，采用沉降池、间隔池、厨房污水采用隔油池处理排放等；</w:t>
                  </w:r>
                </w:p>
                <w:p>
                  <w:pPr>
                    <w:shd w:val="clear" w:color="auto" w:fill="EBF1DE" w:themeFill="accent3" w:themeFillTint="32"/>
                    <w:rPr>
                      <w:rFonts w:hint="eastAsia" w:ascii="黑体" w:hAnsi="黑体" w:eastAsia="黑体" w:cs="黑体"/>
                      <w:sz w:val="18"/>
                      <w:szCs w:val="18"/>
                    </w:rPr>
                  </w:pPr>
                  <w:r>
                    <w:rPr>
                      <w:rFonts w:hint="eastAsia" w:ascii="黑体" w:hAnsi="黑体" w:eastAsia="黑体" w:cs="黑体"/>
                      <w:sz w:val="18"/>
                      <w:szCs w:val="18"/>
                    </w:rPr>
                    <w:t>2.严禁使用含磷洗涤剂等。</w:t>
                  </w:r>
                </w:p>
              </w:tc>
              <w:tc>
                <w:tcPr>
                  <w:tcW w:w="1350" w:type="dxa"/>
                  <w:shd w:val="clear" w:color="auto" w:fill="auto"/>
                  <w:vAlign w:val="center"/>
                </w:tcPr>
                <w:p>
                  <w:pPr>
                    <w:shd w:val="clear" w:color="auto" w:fill="EBF1DE" w:themeFill="accent3" w:themeFillTint="32"/>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黑体" w:hAnsi="黑体" w:eastAsia="黑体" w:cs="黑体"/>
                      <w:sz w:val="18"/>
                      <w:szCs w:val="18"/>
                    </w:rPr>
                  </w:pPr>
                  <w:r>
                    <w:rPr>
                      <w:rFonts w:hint="eastAsia" w:ascii="黑体" w:hAnsi="黑体" w:eastAsia="黑体" w:cs="黑体"/>
                      <w:sz w:val="18"/>
                      <w:szCs w:val="18"/>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dxa"/>
                  <w:shd w:val="clear" w:color="auto" w:fill="auto"/>
                </w:tcPr>
                <w:p>
                  <w:pPr>
                    <w:shd w:val="clear" w:color="auto" w:fill="EBF1DE" w:themeFill="accent3" w:themeFillTint="32"/>
                  </w:pPr>
                  <w:r>
                    <w:rPr>
                      <w:rFonts w:hint="eastAsia" w:ascii="黑体" w:hAnsi="黑体" w:eastAsia="黑体" w:cs="黑体"/>
                      <w:bCs/>
                      <w:sz w:val="18"/>
                      <w:szCs w:val="18"/>
                    </w:rPr>
                    <w:t>年度万元产值水电耗同比去年下降1%</w:t>
                  </w:r>
                </w:p>
              </w:tc>
              <w:tc>
                <w:tcPr>
                  <w:tcW w:w="2813" w:type="dxa"/>
                  <w:shd w:val="clear" w:color="auto" w:fill="auto"/>
                  <w:vAlign w:val="center"/>
                </w:tcPr>
                <w:p>
                  <w:pPr>
                    <w:shd w:val="clear" w:color="auto" w:fill="EBF1DE" w:themeFill="accent3" w:themeFillTint="32"/>
                    <w:rPr>
                      <w:rFonts w:ascii="宋体" w:hAnsi="宋体"/>
                    </w:rPr>
                  </w:pPr>
                  <w:r>
                    <w:rPr>
                      <w:rFonts w:hint="eastAsia" w:ascii="黑体" w:hAnsi="黑体" w:eastAsia="黑体" w:cs="黑体"/>
                      <w:sz w:val="18"/>
                      <w:szCs w:val="18"/>
                    </w:rPr>
                    <w:t>1</w:t>
                  </w:r>
                  <w:r>
                    <w:rPr>
                      <w:rFonts w:hint="eastAsia" w:ascii="黑体" w:hAnsi="黑体" w:eastAsia="黑体" w:cs="黑体"/>
                      <w:sz w:val="18"/>
                      <w:szCs w:val="18"/>
                      <w:lang w:eastAsia="zh-CN"/>
                    </w:rPr>
                    <w:t>.</w:t>
                  </w:r>
                  <w:r>
                    <w:rPr>
                      <w:rFonts w:hint="eastAsia" w:ascii="黑体" w:hAnsi="黑体" w:eastAsia="黑体" w:cs="黑体"/>
                      <w:sz w:val="18"/>
                      <w:szCs w:val="18"/>
                    </w:rPr>
                    <w:t>建立健全公司内部能源管理办法，逐步建立能源消耗定额管理制度；2</w:t>
                  </w:r>
                  <w:r>
                    <w:rPr>
                      <w:rFonts w:hint="eastAsia" w:ascii="黑体" w:hAnsi="黑体" w:eastAsia="黑体" w:cs="黑体"/>
                      <w:sz w:val="18"/>
                      <w:szCs w:val="18"/>
                      <w:lang w:val="en-US" w:eastAsia="zh-CN"/>
                    </w:rPr>
                    <w:t>.</w:t>
                  </w:r>
                  <w:r>
                    <w:rPr>
                      <w:rFonts w:hint="eastAsia" w:ascii="黑体" w:hAnsi="黑体" w:eastAsia="黑体" w:cs="黑体"/>
                      <w:sz w:val="18"/>
                      <w:szCs w:val="18"/>
                    </w:rPr>
                    <w:t>完善各级表式与记录，出台相关管理制度；3</w:t>
                  </w:r>
                  <w:r>
                    <w:rPr>
                      <w:rFonts w:hint="eastAsia" w:ascii="黑体" w:hAnsi="黑体" w:eastAsia="黑体" w:cs="黑体"/>
                      <w:sz w:val="18"/>
                      <w:szCs w:val="18"/>
                      <w:lang w:val="en-US" w:eastAsia="zh-CN"/>
                    </w:rPr>
                    <w:t>.</w:t>
                  </w:r>
                  <w:r>
                    <w:rPr>
                      <w:rFonts w:hint="eastAsia" w:ascii="黑体" w:hAnsi="黑体" w:eastAsia="黑体" w:cs="黑体"/>
                      <w:sz w:val="18"/>
                      <w:szCs w:val="18"/>
                    </w:rPr>
                    <w:t>收集、整理、统计汇总</w:t>
                  </w:r>
                  <w:r>
                    <w:rPr>
                      <w:rFonts w:ascii="黑体" w:hAnsi="黑体" w:eastAsia="黑体" w:cs="黑体"/>
                      <w:sz w:val="18"/>
                      <w:szCs w:val="18"/>
                    </w:rPr>
                    <w:t>20</w:t>
                  </w:r>
                  <w:r>
                    <w:rPr>
                      <w:rFonts w:hint="eastAsia" w:ascii="黑体" w:hAnsi="黑体" w:eastAsia="黑体" w:cs="黑体"/>
                      <w:sz w:val="18"/>
                      <w:szCs w:val="18"/>
                    </w:rPr>
                    <w:t>年电能消耗数据，为202</w:t>
                  </w:r>
                  <w:r>
                    <w:rPr>
                      <w:rFonts w:ascii="黑体" w:hAnsi="黑体" w:eastAsia="黑体" w:cs="黑体"/>
                      <w:sz w:val="18"/>
                      <w:szCs w:val="18"/>
                    </w:rPr>
                    <w:t>1</w:t>
                  </w:r>
                  <w:r>
                    <w:rPr>
                      <w:rFonts w:hint="eastAsia" w:ascii="黑体" w:hAnsi="黑体" w:eastAsia="黑体" w:cs="黑体"/>
                      <w:sz w:val="18"/>
                      <w:szCs w:val="18"/>
                    </w:rPr>
                    <w:t>年制定具体考核政策奠定基础；4</w:t>
                  </w:r>
                  <w:r>
                    <w:rPr>
                      <w:rFonts w:hint="eastAsia" w:ascii="黑体" w:hAnsi="黑体" w:eastAsia="黑体" w:cs="黑体"/>
                      <w:sz w:val="18"/>
                      <w:szCs w:val="18"/>
                      <w:lang w:val="en-US" w:eastAsia="zh-CN"/>
                    </w:rPr>
                    <w:t>.</w:t>
                  </w:r>
                  <w:r>
                    <w:rPr>
                      <w:rFonts w:hint="eastAsia" w:ascii="黑体" w:hAnsi="黑体" w:eastAsia="黑体" w:cs="黑体"/>
                      <w:sz w:val="18"/>
                      <w:szCs w:val="18"/>
                    </w:rPr>
                    <w:t>完善产品检验规程，严格按产品规程组织各级检验，控制产品不合格品率；5</w:t>
                  </w:r>
                  <w:r>
                    <w:rPr>
                      <w:rFonts w:hint="eastAsia" w:ascii="黑体" w:hAnsi="黑体" w:eastAsia="黑体" w:cs="黑体"/>
                      <w:sz w:val="18"/>
                      <w:szCs w:val="18"/>
                      <w:lang w:val="en-US" w:eastAsia="zh-CN"/>
                    </w:rPr>
                    <w:t>.</w:t>
                  </w:r>
                  <w:r>
                    <w:rPr>
                      <w:rFonts w:hint="eastAsia" w:ascii="黑体" w:hAnsi="黑体" w:eastAsia="黑体" w:cs="黑体"/>
                      <w:sz w:val="18"/>
                      <w:szCs w:val="18"/>
                    </w:rPr>
                    <w:t>加强工艺监控、提高工艺纪律贯彻率，确保产品质量的提升和能源消耗的降低</w:t>
                  </w:r>
                  <w:r>
                    <w:rPr>
                      <w:rFonts w:hint="eastAsia" w:ascii="黑体" w:hAnsi="黑体" w:eastAsia="黑体" w:cs="黑体"/>
                      <w:sz w:val="18"/>
                      <w:szCs w:val="18"/>
                      <w:lang w:eastAsia="zh-CN"/>
                    </w:rPr>
                    <w:t>；</w:t>
                  </w:r>
                  <w:r>
                    <w:rPr>
                      <w:rFonts w:hint="eastAsia" w:ascii="黑体" w:hAnsi="黑体" w:eastAsia="黑体" w:cs="黑体"/>
                      <w:sz w:val="18"/>
                      <w:szCs w:val="18"/>
                    </w:rPr>
                    <w:t>6</w:t>
                  </w:r>
                  <w:r>
                    <w:rPr>
                      <w:rFonts w:hint="eastAsia" w:ascii="黑体" w:hAnsi="黑体" w:eastAsia="黑体" w:cs="黑体"/>
                      <w:sz w:val="18"/>
                      <w:szCs w:val="18"/>
                      <w:lang w:val="en-US" w:eastAsia="zh-CN"/>
                    </w:rPr>
                    <w:t>.</w:t>
                  </w:r>
                  <w:r>
                    <w:rPr>
                      <w:rFonts w:hint="eastAsia" w:ascii="黑体" w:hAnsi="黑体" w:eastAsia="黑体" w:cs="黑体"/>
                      <w:sz w:val="18"/>
                      <w:szCs w:val="18"/>
                    </w:rPr>
                    <w:t>组织进行产品质量分析活动，提高产品质量；7</w:t>
                  </w:r>
                  <w:r>
                    <w:rPr>
                      <w:rFonts w:hint="eastAsia" w:ascii="黑体" w:hAnsi="黑体" w:eastAsia="黑体" w:cs="黑体"/>
                      <w:sz w:val="18"/>
                      <w:szCs w:val="18"/>
                      <w:lang w:val="en-US" w:eastAsia="zh-CN"/>
                    </w:rPr>
                    <w:t>.</w:t>
                  </w:r>
                  <w:r>
                    <w:rPr>
                      <w:rFonts w:hint="eastAsia" w:ascii="黑体" w:hAnsi="黑体" w:eastAsia="黑体" w:cs="黑体"/>
                      <w:sz w:val="18"/>
                      <w:szCs w:val="18"/>
                    </w:rPr>
                    <w:t>严格按作业现场管理制度组织生产，并搞好班组建设管理工作，出台相应的管理办法；8</w:t>
                  </w:r>
                  <w:r>
                    <w:rPr>
                      <w:rFonts w:hint="eastAsia" w:ascii="黑体" w:hAnsi="黑体" w:eastAsia="黑体" w:cs="黑体"/>
                      <w:sz w:val="18"/>
                      <w:szCs w:val="18"/>
                      <w:lang w:val="en-US" w:eastAsia="zh-CN"/>
                    </w:rPr>
                    <w:t>.</w:t>
                  </w:r>
                  <w:r>
                    <w:rPr>
                      <w:rFonts w:hint="eastAsia" w:ascii="黑体" w:hAnsi="黑体" w:eastAsia="黑体" w:cs="黑体"/>
                      <w:sz w:val="18"/>
                      <w:szCs w:val="18"/>
                    </w:rPr>
                    <w:t>制定《节能降耗管理规定》进行运行控制，加强相关要求的学习。</w:t>
                  </w:r>
                </w:p>
              </w:tc>
              <w:tc>
                <w:tcPr>
                  <w:tcW w:w="1350" w:type="dxa"/>
                  <w:shd w:val="clear" w:color="auto" w:fill="auto"/>
                  <w:vAlign w:val="center"/>
                </w:tcPr>
                <w:p>
                  <w:pPr>
                    <w:shd w:val="clear" w:color="auto" w:fill="EBF1DE" w:themeFill="accent3" w:themeFillTint="32"/>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各部门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黑体" w:hAnsi="黑体" w:eastAsia="黑体" w:cs="黑体"/>
                      <w:sz w:val="18"/>
                      <w:szCs w:val="18"/>
                    </w:rPr>
                    <w:t>下降1.1%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dxa"/>
                  <w:shd w:val="clear" w:color="auto" w:fill="auto"/>
                </w:tcPr>
                <w:p>
                  <w:pPr>
                    <w:shd w:val="clear" w:color="auto" w:fill="EBF1DE" w:themeFill="accent3" w:themeFillTint="32"/>
                  </w:pPr>
                  <w:r>
                    <w:rPr>
                      <w:rFonts w:hint="eastAsia" w:ascii="黑体" w:hAnsi="黑体" w:eastAsia="黑体" w:cs="黑体"/>
                      <w:sz w:val="18"/>
                      <w:szCs w:val="18"/>
                    </w:rPr>
                    <w:t>火灾发生率为0</w:t>
                  </w:r>
                </w:p>
              </w:tc>
              <w:tc>
                <w:tcPr>
                  <w:tcW w:w="2813" w:type="dxa"/>
                  <w:shd w:val="clear" w:color="auto" w:fill="auto"/>
                  <w:vAlign w:val="center"/>
                </w:tcPr>
                <w:p>
                  <w:pPr>
                    <w:spacing w:line="360" w:lineRule="exact"/>
                    <w:rPr>
                      <w:rFonts w:hint="eastAsia" w:ascii="黑体" w:hAnsi="黑体" w:eastAsia="黑体" w:cs="黑体"/>
                      <w:sz w:val="18"/>
                      <w:szCs w:val="18"/>
                    </w:rPr>
                  </w:pPr>
                  <w:r>
                    <w:rPr>
                      <w:rFonts w:hint="eastAsia" w:ascii="黑体" w:hAnsi="黑体" w:eastAsia="黑体" w:cs="黑体"/>
                      <w:sz w:val="18"/>
                      <w:szCs w:val="18"/>
                    </w:rPr>
                    <w:t>1.落实消防工作责任制，严格管理。</w:t>
                  </w:r>
                </w:p>
                <w:p>
                  <w:pPr>
                    <w:spacing w:line="360" w:lineRule="exact"/>
                    <w:rPr>
                      <w:rFonts w:hint="eastAsia" w:ascii="黑体" w:hAnsi="黑体" w:eastAsia="黑体" w:cs="黑体"/>
                      <w:sz w:val="18"/>
                      <w:szCs w:val="18"/>
                    </w:rPr>
                  </w:pPr>
                  <w:r>
                    <w:rPr>
                      <w:rFonts w:hint="eastAsia" w:ascii="黑体" w:hAnsi="黑体" w:eastAsia="黑体" w:cs="黑体"/>
                      <w:sz w:val="18"/>
                      <w:szCs w:val="18"/>
                    </w:rPr>
                    <w:t>2.厂区加强检查、巡视，发现隐患及时采取纠正和预防措施。</w:t>
                  </w:r>
                </w:p>
                <w:p>
                  <w:pPr>
                    <w:spacing w:line="360" w:lineRule="exact"/>
                    <w:rPr>
                      <w:rFonts w:hint="eastAsia" w:ascii="黑体" w:hAnsi="黑体" w:eastAsia="黑体" w:cs="黑体"/>
                      <w:sz w:val="18"/>
                      <w:szCs w:val="18"/>
                    </w:rPr>
                  </w:pPr>
                  <w:r>
                    <w:rPr>
                      <w:rFonts w:hint="eastAsia" w:ascii="黑体" w:hAnsi="黑体" w:eastAsia="黑体" w:cs="黑体"/>
                      <w:sz w:val="18"/>
                      <w:szCs w:val="18"/>
                    </w:rPr>
                    <w:t>3.每月对消防设施进行检查，发现不合格消防设施及时更新。</w:t>
                  </w:r>
                </w:p>
                <w:p>
                  <w:pPr>
                    <w:shd w:val="clear" w:color="auto" w:fill="EBF1DE" w:themeFill="accent3" w:themeFillTint="32"/>
                    <w:rPr>
                      <w:rFonts w:ascii="宋体" w:hAnsi="宋体"/>
                    </w:rPr>
                  </w:pPr>
                  <w:r>
                    <w:rPr>
                      <w:rFonts w:hint="eastAsia" w:ascii="黑体" w:hAnsi="黑体" w:eastAsia="黑体" w:cs="黑体"/>
                      <w:sz w:val="18"/>
                      <w:szCs w:val="18"/>
                    </w:rPr>
                    <w:t>4.加强对员工防火意识教育，严禁在禁止吸烟处吸烟。</w:t>
                  </w:r>
                </w:p>
              </w:tc>
              <w:tc>
                <w:tcPr>
                  <w:tcW w:w="1350" w:type="dxa"/>
                  <w:shd w:val="clear" w:color="auto" w:fill="auto"/>
                  <w:vAlign w:val="center"/>
                </w:tcPr>
                <w:p>
                  <w:pPr>
                    <w:shd w:val="clear" w:color="auto" w:fill="EBF1DE" w:themeFill="accent3" w:themeFillTint="32"/>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bl>
          <w:p>
            <w:pPr>
              <w:shd w:val="clear" w:color="auto" w:fill="EBF1DE" w:themeFill="accent3" w:themeFillTint="32"/>
            </w:pPr>
            <w:r>
              <w:rPr>
                <w:rFonts w:hint="eastAsia" w:ascii="Wingdings" w:hAnsi="Wingdings"/>
                <w:lang w:val="en-US" w:eastAsia="zh-CN"/>
              </w:rPr>
              <w:sym w:font="Wingdings 2" w:char="0052"/>
            </w:r>
            <w:r>
              <w:rPr>
                <w:rFonts w:hint="eastAsia"/>
              </w:rPr>
              <w:t>目标已实现</w:t>
            </w:r>
          </w:p>
          <w:p>
            <w:pPr>
              <w:shd w:val="clear" w:color="auto" w:fill="EBF1DE" w:themeFill="accent3" w:themeFillTint="32"/>
            </w:pPr>
            <w:r>
              <w:rPr>
                <w:rFonts w:hint="eastAsia" w:ascii="Wingdings" w:hAnsi="Wingdings"/>
                <w:lang w:val="en-US"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lang w:val="en-US" w:eastAsia="zh-CN"/>
              </w:rPr>
              <w:sym w:font="Wingdings 2" w:char="0052"/>
            </w:r>
            <w:r>
              <w:rPr>
                <w:rFonts w:hint="eastAsia"/>
              </w:rPr>
              <w:t>人力资源</w:t>
            </w:r>
            <w:r>
              <w:rPr>
                <w:rFonts w:hint="eastAsia"/>
                <w:lang w:val="en-US" w:eastAsia="zh-CN"/>
              </w:rPr>
              <w:t xml:space="preserve"> </w:t>
            </w:r>
            <w:r>
              <w:rPr>
                <w:rFonts w:hint="eastAsia" w:ascii="Wingdings" w:hAnsi="Wingdings"/>
                <w:lang w:val="en-US" w:eastAsia="zh-CN"/>
              </w:rPr>
              <w:sym w:font="Wingdings 2" w:char="0052"/>
            </w:r>
            <w:r>
              <w:rPr>
                <w:rFonts w:hint="eastAsia"/>
              </w:rPr>
              <w:t>自然资源</w:t>
            </w:r>
            <w:r>
              <w:rPr>
                <w:rFonts w:hint="eastAsia" w:ascii="Wingdings" w:hAnsi="Wingdings"/>
                <w:lang w:val="en-US" w:eastAsia="zh-CN"/>
              </w:rPr>
              <w:t xml:space="preserve"> </w:t>
            </w:r>
            <w:r>
              <w:rPr>
                <w:rFonts w:hint="eastAsia" w:ascii="Wingdings" w:hAnsi="Wingdings"/>
                <w:lang w:val="en-US" w:eastAsia="zh-CN"/>
              </w:rPr>
              <w:sym w:font="Wingdings 2" w:char="0052"/>
            </w:r>
            <w:r>
              <w:rPr>
                <w:rFonts w:hint="eastAsia"/>
              </w:rPr>
              <w:t>基础设施</w:t>
            </w:r>
            <w:r>
              <w:rPr>
                <w:rFonts w:hint="eastAsia"/>
                <w:lang w:val="en-US" w:eastAsia="zh-CN"/>
              </w:rPr>
              <w:t xml:space="preserve"> </w:t>
            </w:r>
            <w:r>
              <w:rPr>
                <w:rFonts w:hint="eastAsia" w:ascii="Wingdings" w:hAnsi="Wingdings"/>
                <w:lang w:val="en-US" w:eastAsia="zh-CN"/>
              </w:rPr>
              <w:sym w:font="Wingdings 2" w:char="0052"/>
            </w:r>
            <w:r>
              <w:rPr>
                <w:rFonts w:hint="eastAsia"/>
              </w:rPr>
              <w:t>技术</w:t>
            </w:r>
            <w:r>
              <w:rPr>
                <w:rFonts w:hint="eastAsia" w:ascii="Wingdings" w:hAnsi="Wingdings"/>
                <w:lang w:val="en-US" w:eastAsia="zh-CN"/>
              </w:rPr>
              <w:t xml:space="preserve"> </w:t>
            </w:r>
            <w:r>
              <w:rPr>
                <w:rFonts w:hint="eastAsia" w:ascii="Wingdings" w:hAnsi="Wingdings"/>
                <w:lang w:val="en-US"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w:t>
            </w:r>
            <w:r>
              <w:rPr>
                <w:rFonts w:hint="eastAsia"/>
                <w:lang w:val="en-US" w:eastAsia="zh-CN"/>
              </w:rPr>
              <w:t>32000</w:t>
            </w:r>
            <w:r>
              <w:rPr>
                <w:rFonts w:hint="eastAsia"/>
              </w:rPr>
              <w:t>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u w:val="single"/>
                <w:lang w:val="en-US" w:eastAsia="zh-CN"/>
              </w:rPr>
              <w:t>油漆线、砂光机、铣床、腻子机线</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低温等离子除尘器、吸风集气系统</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sym w:font="Wingdings 2" w:char="0052"/>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sym w:font="Wingdings 2" w:char="00A3"/>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lang w:val="en-US" w:eastAsia="zh-CN"/>
              </w:rPr>
              <w:t>压力表、钢卷尺、木材含水率测定仪、数显卡尺</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sym w:font="Wingdings 2" w:char="00A3"/>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sym w:font="Wingdings 2" w:char="00A3"/>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竹木混合重竹板</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A3"/>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sym w:font="Wingdings 2" w:char="00A3"/>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183"/>
              <w:gridCol w:w="3574"/>
              <w:gridCol w:w="1029"/>
              <w:gridCol w:w="1042"/>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96"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序号</w:t>
                  </w:r>
                </w:p>
              </w:tc>
              <w:tc>
                <w:tcPr>
                  <w:tcW w:w="1187"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环境因素</w:t>
                  </w:r>
                </w:p>
              </w:tc>
              <w:tc>
                <w:tcPr>
                  <w:tcW w:w="3588"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活动点/工序或部位</w:t>
                  </w:r>
                </w:p>
              </w:tc>
              <w:tc>
                <w:tcPr>
                  <w:tcW w:w="1031" w:type="dxa"/>
                  <w:noWrap w:val="0"/>
                  <w:vAlign w:val="center"/>
                </w:tcPr>
                <w:p>
                  <w:pPr>
                    <w:ind w:left="-737" w:leftChars="-351" w:firstLine="644" w:firstLineChars="307"/>
                    <w:jc w:val="center"/>
                    <w:rPr>
                      <w:rFonts w:hint="eastAsia" w:ascii="宋体" w:hAnsi="宋体" w:eastAsia="宋体" w:cs="宋体"/>
                      <w:b w:val="0"/>
                      <w:bCs/>
                      <w:sz w:val="21"/>
                      <w:szCs w:val="21"/>
                    </w:rPr>
                  </w:pPr>
                  <w:r>
                    <w:rPr>
                      <w:rFonts w:hint="eastAsia" w:ascii="宋体" w:hAnsi="宋体" w:eastAsia="宋体" w:cs="宋体"/>
                      <w:b w:val="0"/>
                      <w:bCs/>
                      <w:sz w:val="21"/>
                      <w:szCs w:val="21"/>
                    </w:rPr>
                    <w:t>环境影响</w:t>
                  </w:r>
                </w:p>
              </w:tc>
              <w:tc>
                <w:tcPr>
                  <w:tcW w:w="1045"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时态/状态</w:t>
                  </w:r>
                </w:p>
              </w:tc>
              <w:tc>
                <w:tcPr>
                  <w:tcW w:w="1810"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管理控制方式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396" w:type="dxa"/>
                  <w:vMerge w:val="restart"/>
                  <w:tcBorders>
                    <w:bottom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187" w:type="dxa"/>
                  <w:vMerge w:val="restart"/>
                  <w:tcBorders>
                    <w:bottom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噪声的排放</w:t>
                  </w:r>
                </w:p>
              </w:tc>
              <w:tc>
                <w:tcPr>
                  <w:tcW w:w="3588"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车间生产设备发出的噪声</w:t>
                  </w:r>
                </w:p>
              </w:tc>
              <w:tc>
                <w:tcPr>
                  <w:tcW w:w="1031" w:type="dxa"/>
                  <w:vMerge w:val="restart"/>
                  <w:tcBorders>
                    <w:bottom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影响人体健康、社区居民休息</w:t>
                  </w:r>
                </w:p>
              </w:tc>
              <w:tc>
                <w:tcPr>
                  <w:tcW w:w="1045" w:type="dxa"/>
                  <w:vMerge w:val="restart"/>
                  <w:tcBorders>
                    <w:bottom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现在/正常</w:t>
                  </w:r>
                </w:p>
              </w:tc>
              <w:tc>
                <w:tcPr>
                  <w:tcW w:w="1810" w:type="dxa"/>
                  <w:vMerge w:val="restart"/>
                  <w:tcBorders>
                    <w:bottom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管理方案/环境影响运行控制程序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396" w:type="dxa"/>
                  <w:vMerge w:val="continue"/>
                  <w:tcBorders>
                    <w:bottom w:val="single" w:color="auto" w:sz="4" w:space="0"/>
                  </w:tcBorders>
                  <w:noWrap w:val="0"/>
                  <w:vAlign w:val="center"/>
                </w:tcPr>
                <w:p>
                  <w:pPr>
                    <w:jc w:val="center"/>
                    <w:rPr>
                      <w:rFonts w:hint="eastAsia" w:ascii="宋体" w:hAnsi="宋体" w:eastAsia="宋体" w:cs="宋体"/>
                      <w:sz w:val="21"/>
                      <w:szCs w:val="21"/>
                    </w:rPr>
                  </w:pPr>
                </w:p>
              </w:tc>
              <w:tc>
                <w:tcPr>
                  <w:tcW w:w="1187" w:type="dxa"/>
                  <w:vMerge w:val="continue"/>
                  <w:tcBorders>
                    <w:bottom w:val="single" w:color="auto" w:sz="4" w:space="0"/>
                  </w:tcBorders>
                  <w:noWrap w:val="0"/>
                  <w:vAlign w:val="center"/>
                </w:tcPr>
                <w:p>
                  <w:pPr>
                    <w:jc w:val="center"/>
                    <w:rPr>
                      <w:rFonts w:hint="eastAsia" w:ascii="宋体" w:hAnsi="宋体" w:eastAsia="宋体" w:cs="宋体"/>
                      <w:sz w:val="21"/>
                      <w:szCs w:val="21"/>
                    </w:rPr>
                  </w:pPr>
                </w:p>
              </w:tc>
              <w:tc>
                <w:tcPr>
                  <w:tcW w:w="3588"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场内的运输车、工具车等车辆运输作业时的噪声、厂房扩建</w:t>
                  </w:r>
                </w:p>
              </w:tc>
              <w:tc>
                <w:tcPr>
                  <w:tcW w:w="1031" w:type="dxa"/>
                  <w:vMerge w:val="continue"/>
                  <w:tcBorders>
                    <w:bottom w:val="single" w:color="auto" w:sz="4" w:space="0"/>
                  </w:tcBorders>
                  <w:noWrap w:val="0"/>
                  <w:vAlign w:val="center"/>
                </w:tcPr>
                <w:p>
                  <w:pPr>
                    <w:rPr>
                      <w:rFonts w:hint="eastAsia" w:ascii="宋体" w:hAnsi="宋体" w:eastAsia="宋体" w:cs="宋体"/>
                      <w:sz w:val="21"/>
                      <w:szCs w:val="21"/>
                    </w:rPr>
                  </w:pPr>
                </w:p>
              </w:tc>
              <w:tc>
                <w:tcPr>
                  <w:tcW w:w="1045" w:type="dxa"/>
                  <w:vMerge w:val="continue"/>
                  <w:tcBorders>
                    <w:bottom w:val="single" w:color="auto" w:sz="4" w:space="0"/>
                  </w:tcBorders>
                  <w:noWrap w:val="0"/>
                  <w:vAlign w:val="center"/>
                </w:tcPr>
                <w:p>
                  <w:pPr>
                    <w:rPr>
                      <w:rFonts w:hint="eastAsia" w:ascii="宋体" w:hAnsi="宋体" w:eastAsia="宋体" w:cs="宋体"/>
                      <w:sz w:val="21"/>
                      <w:szCs w:val="21"/>
                    </w:rPr>
                  </w:pPr>
                </w:p>
              </w:tc>
              <w:tc>
                <w:tcPr>
                  <w:tcW w:w="1810" w:type="dxa"/>
                  <w:vMerge w:val="continue"/>
                  <w:tcBorders>
                    <w:bottom w:val="single" w:color="auto" w:sz="4"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396"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18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废水的排放</w:t>
                  </w:r>
                </w:p>
              </w:tc>
              <w:tc>
                <w:tcPr>
                  <w:tcW w:w="3588"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生活废水的排放</w:t>
                  </w:r>
                </w:p>
              </w:tc>
              <w:tc>
                <w:tcPr>
                  <w:tcW w:w="1031"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水体污染</w:t>
                  </w:r>
                </w:p>
              </w:tc>
              <w:tc>
                <w:tcPr>
                  <w:tcW w:w="104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现在/正常</w:t>
                  </w:r>
                </w:p>
              </w:tc>
              <w:tc>
                <w:tcPr>
                  <w:tcW w:w="1810"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管理方案/环境影响运行控制程序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396"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87"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废气的排放</w:t>
                  </w:r>
                </w:p>
              </w:tc>
              <w:tc>
                <w:tcPr>
                  <w:tcW w:w="3588" w:type="dxa"/>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粉尘、油漆废气、食堂油烟废气的排放</w:t>
                  </w:r>
                </w:p>
              </w:tc>
              <w:tc>
                <w:tcPr>
                  <w:tcW w:w="1031"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大气污染</w:t>
                  </w:r>
                </w:p>
              </w:tc>
              <w:tc>
                <w:tcPr>
                  <w:tcW w:w="104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现在/正常</w:t>
                  </w:r>
                </w:p>
              </w:tc>
              <w:tc>
                <w:tcPr>
                  <w:tcW w:w="1810"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管理方案/环境影响运行控制控制程序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6" w:type="dxa"/>
                  <w:vMerge w:val="restar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1187" w:type="dxa"/>
                  <w:vMerge w:val="restar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资源的消耗</w:t>
                  </w:r>
                </w:p>
              </w:tc>
              <w:tc>
                <w:tcPr>
                  <w:tcW w:w="3588"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生产用电、水等的消耗，</w:t>
                  </w:r>
                  <w:r>
                    <w:rPr>
                      <w:rFonts w:hint="eastAsia" w:ascii="宋体" w:hAnsi="宋体" w:eastAsia="宋体" w:cs="宋体"/>
                      <w:color w:val="auto"/>
                      <w:sz w:val="21"/>
                      <w:szCs w:val="21"/>
                    </w:rPr>
                    <w:t>天然气、压缩空气消耗</w:t>
                  </w:r>
                </w:p>
              </w:tc>
              <w:tc>
                <w:tcPr>
                  <w:tcW w:w="1031" w:type="dxa"/>
                  <w:vMerge w:val="restart"/>
                  <w:noWrap w:val="0"/>
                  <w:vAlign w:val="top"/>
                </w:tcPr>
                <w:p>
                  <w:pPr>
                    <w:rPr>
                      <w:rFonts w:hint="eastAsia" w:ascii="宋体" w:hAnsi="宋体" w:eastAsia="宋体" w:cs="宋体"/>
                      <w:sz w:val="21"/>
                      <w:szCs w:val="21"/>
                    </w:rPr>
                  </w:pPr>
                  <w:r>
                    <w:rPr>
                      <w:rFonts w:hint="eastAsia" w:ascii="宋体" w:hAnsi="宋体" w:eastAsia="宋体" w:cs="宋体"/>
                      <w:sz w:val="21"/>
                      <w:szCs w:val="21"/>
                    </w:rPr>
                    <w:t>资源消耗</w:t>
                  </w:r>
                </w:p>
              </w:tc>
              <w:tc>
                <w:tcPr>
                  <w:tcW w:w="1045" w:type="dxa"/>
                  <w:vMerge w:val="restart"/>
                  <w:noWrap w:val="0"/>
                  <w:vAlign w:val="top"/>
                </w:tcPr>
                <w:p>
                  <w:pPr>
                    <w:rPr>
                      <w:rFonts w:hint="eastAsia" w:ascii="宋体" w:hAnsi="宋体" w:eastAsia="宋体" w:cs="宋体"/>
                      <w:sz w:val="21"/>
                      <w:szCs w:val="21"/>
                    </w:rPr>
                  </w:pPr>
                  <w:r>
                    <w:rPr>
                      <w:rFonts w:hint="eastAsia" w:ascii="宋体" w:hAnsi="宋体" w:eastAsia="宋体" w:cs="宋体"/>
                      <w:sz w:val="21"/>
                      <w:szCs w:val="21"/>
                    </w:rPr>
                    <w:t>现在/正常</w:t>
                  </w:r>
                </w:p>
              </w:tc>
              <w:tc>
                <w:tcPr>
                  <w:tcW w:w="1810" w:type="dxa"/>
                  <w:vMerge w:val="restart"/>
                  <w:noWrap w:val="0"/>
                  <w:vAlign w:val="top"/>
                </w:tcPr>
                <w:p>
                  <w:pPr>
                    <w:rPr>
                      <w:rFonts w:hint="eastAsia" w:ascii="宋体" w:hAnsi="宋体" w:eastAsia="宋体" w:cs="宋体"/>
                      <w:sz w:val="21"/>
                      <w:szCs w:val="21"/>
                    </w:rPr>
                  </w:pPr>
                  <w:r>
                    <w:rPr>
                      <w:rFonts w:hint="eastAsia" w:ascii="宋体" w:hAnsi="宋体" w:eastAsia="宋体" w:cs="宋体"/>
                      <w:sz w:val="21"/>
                      <w:szCs w:val="21"/>
                    </w:rPr>
                    <w:t>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396" w:type="dxa"/>
                  <w:vMerge w:val="continue"/>
                  <w:noWrap w:val="0"/>
                  <w:vAlign w:val="center"/>
                </w:tcPr>
                <w:p>
                  <w:pPr>
                    <w:jc w:val="center"/>
                    <w:rPr>
                      <w:rFonts w:hint="eastAsia" w:ascii="宋体" w:hAnsi="宋体" w:eastAsia="宋体" w:cs="宋体"/>
                      <w:sz w:val="21"/>
                      <w:szCs w:val="21"/>
                    </w:rPr>
                  </w:pPr>
                </w:p>
              </w:tc>
              <w:tc>
                <w:tcPr>
                  <w:tcW w:w="1187" w:type="dxa"/>
                  <w:vMerge w:val="continue"/>
                  <w:noWrap w:val="0"/>
                  <w:vAlign w:val="center"/>
                </w:tcPr>
                <w:p>
                  <w:pPr>
                    <w:jc w:val="center"/>
                    <w:rPr>
                      <w:rFonts w:hint="eastAsia" w:ascii="宋体" w:hAnsi="宋体" w:eastAsia="宋体" w:cs="宋体"/>
                      <w:sz w:val="21"/>
                      <w:szCs w:val="21"/>
                    </w:rPr>
                  </w:pPr>
                </w:p>
              </w:tc>
              <w:tc>
                <w:tcPr>
                  <w:tcW w:w="3588"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办公用电、水等的消耗</w:t>
                  </w:r>
                </w:p>
              </w:tc>
              <w:tc>
                <w:tcPr>
                  <w:tcW w:w="1031" w:type="dxa"/>
                  <w:vMerge w:val="continue"/>
                  <w:noWrap w:val="0"/>
                  <w:vAlign w:val="top"/>
                </w:tcPr>
                <w:p>
                  <w:pPr>
                    <w:rPr>
                      <w:rFonts w:hint="eastAsia" w:ascii="宋体" w:hAnsi="宋体" w:eastAsia="宋体" w:cs="宋体"/>
                      <w:sz w:val="21"/>
                      <w:szCs w:val="21"/>
                    </w:rPr>
                  </w:pPr>
                </w:p>
              </w:tc>
              <w:tc>
                <w:tcPr>
                  <w:tcW w:w="1045" w:type="dxa"/>
                  <w:vMerge w:val="continue"/>
                  <w:noWrap w:val="0"/>
                  <w:vAlign w:val="top"/>
                </w:tcPr>
                <w:p>
                  <w:pPr>
                    <w:rPr>
                      <w:rFonts w:hint="eastAsia" w:ascii="宋体" w:hAnsi="宋体" w:eastAsia="宋体" w:cs="宋体"/>
                      <w:sz w:val="21"/>
                      <w:szCs w:val="21"/>
                    </w:rPr>
                  </w:pPr>
                </w:p>
              </w:tc>
              <w:tc>
                <w:tcPr>
                  <w:tcW w:w="1810" w:type="dxa"/>
                  <w:vMerge w:val="continue"/>
                  <w:noWrap w:val="0"/>
                  <w:vAlign w:val="top"/>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6" w:type="dxa"/>
                  <w:vMerge w:val="restar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1187" w:type="dxa"/>
                  <w:vMerge w:val="restar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潜在火灾事故的发生</w:t>
                  </w:r>
                </w:p>
              </w:tc>
              <w:tc>
                <w:tcPr>
                  <w:tcW w:w="3588"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办公室的易燃物品管理不慎，吸烟等明火引发的火灾</w:t>
                  </w:r>
                </w:p>
              </w:tc>
              <w:tc>
                <w:tcPr>
                  <w:tcW w:w="1031"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大气、水体等综合性污染</w:t>
                  </w:r>
                </w:p>
              </w:tc>
              <w:tc>
                <w:tcPr>
                  <w:tcW w:w="1045"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将来/紧急</w:t>
                  </w:r>
                </w:p>
              </w:tc>
              <w:tc>
                <w:tcPr>
                  <w:tcW w:w="1810"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管理方案/应急准备和响应控制程序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6" w:type="dxa"/>
                  <w:vMerge w:val="continue"/>
                  <w:noWrap w:val="0"/>
                  <w:vAlign w:val="center"/>
                </w:tcPr>
                <w:p>
                  <w:pPr>
                    <w:jc w:val="center"/>
                    <w:rPr>
                      <w:rFonts w:hint="eastAsia" w:ascii="宋体" w:hAnsi="宋体" w:eastAsia="宋体" w:cs="宋体"/>
                      <w:sz w:val="21"/>
                      <w:szCs w:val="21"/>
                    </w:rPr>
                  </w:pPr>
                </w:p>
              </w:tc>
              <w:tc>
                <w:tcPr>
                  <w:tcW w:w="1187" w:type="dxa"/>
                  <w:vMerge w:val="continue"/>
                  <w:noWrap w:val="0"/>
                  <w:vAlign w:val="center"/>
                </w:tcPr>
                <w:p>
                  <w:pPr>
                    <w:jc w:val="center"/>
                    <w:rPr>
                      <w:rFonts w:hint="eastAsia" w:ascii="宋体" w:hAnsi="宋体" w:eastAsia="宋体" w:cs="宋体"/>
                      <w:sz w:val="21"/>
                      <w:szCs w:val="21"/>
                    </w:rPr>
                  </w:pPr>
                </w:p>
              </w:tc>
              <w:tc>
                <w:tcPr>
                  <w:tcW w:w="3588" w:type="dxa"/>
                  <w:tcBorders>
                    <w:bottom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车间和仓库包装材料等易燃品管理不慎引发的火灾</w:t>
                  </w:r>
                </w:p>
              </w:tc>
              <w:tc>
                <w:tcPr>
                  <w:tcW w:w="1031" w:type="dxa"/>
                  <w:vMerge w:val="continue"/>
                  <w:noWrap w:val="0"/>
                  <w:vAlign w:val="top"/>
                </w:tcPr>
                <w:p>
                  <w:pPr>
                    <w:rPr>
                      <w:rFonts w:hint="eastAsia" w:ascii="宋体" w:hAnsi="宋体" w:eastAsia="宋体" w:cs="宋体"/>
                      <w:sz w:val="21"/>
                      <w:szCs w:val="21"/>
                    </w:rPr>
                  </w:pPr>
                </w:p>
              </w:tc>
              <w:tc>
                <w:tcPr>
                  <w:tcW w:w="1045" w:type="dxa"/>
                  <w:vMerge w:val="continue"/>
                  <w:noWrap w:val="0"/>
                  <w:vAlign w:val="top"/>
                </w:tcPr>
                <w:p>
                  <w:pPr>
                    <w:rPr>
                      <w:rFonts w:hint="eastAsia" w:ascii="宋体" w:hAnsi="宋体" w:eastAsia="宋体" w:cs="宋体"/>
                      <w:sz w:val="21"/>
                      <w:szCs w:val="21"/>
                    </w:rPr>
                  </w:pPr>
                </w:p>
              </w:tc>
              <w:tc>
                <w:tcPr>
                  <w:tcW w:w="1810" w:type="dxa"/>
                  <w:vMerge w:val="continue"/>
                  <w:noWrap w:val="0"/>
                  <w:vAlign w:val="top"/>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396" w:type="dxa"/>
                  <w:vMerge w:val="continue"/>
                  <w:noWrap w:val="0"/>
                  <w:vAlign w:val="center"/>
                </w:tcPr>
                <w:p>
                  <w:pPr>
                    <w:jc w:val="center"/>
                    <w:rPr>
                      <w:rFonts w:hint="eastAsia" w:ascii="宋体" w:hAnsi="宋体" w:eastAsia="宋体" w:cs="宋体"/>
                      <w:sz w:val="21"/>
                      <w:szCs w:val="21"/>
                    </w:rPr>
                  </w:pPr>
                </w:p>
              </w:tc>
              <w:tc>
                <w:tcPr>
                  <w:tcW w:w="1187" w:type="dxa"/>
                  <w:vMerge w:val="continue"/>
                  <w:noWrap w:val="0"/>
                  <w:vAlign w:val="center"/>
                </w:tcPr>
                <w:p>
                  <w:pPr>
                    <w:jc w:val="center"/>
                    <w:rPr>
                      <w:rFonts w:hint="eastAsia" w:ascii="宋体" w:hAnsi="宋体" w:eastAsia="宋体" w:cs="宋体"/>
                      <w:sz w:val="21"/>
                      <w:szCs w:val="21"/>
                    </w:rPr>
                  </w:pPr>
                </w:p>
              </w:tc>
              <w:tc>
                <w:tcPr>
                  <w:tcW w:w="3588" w:type="dxa"/>
                  <w:tcBorders>
                    <w:bottom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电器短路火灾的发生</w:t>
                  </w:r>
                </w:p>
              </w:tc>
              <w:tc>
                <w:tcPr>
                  <w:tcW w:w="1031" w:type="dxa"/>
                  <w:vMerge w:val="continue"/>
                  <w:noWrap w:val="0"/>
                  <w:vAlign w:val="top"/>
                </w:tcPr>
                <w:p>
                  <w:pPr>
                    <w:rPr>
                      <w:rFonts w:hint="eastAsia" w:ascii="宋体" w:hAnsi="宋体" w:eastAsia="宋体" w:cs="宋体"/>
                      <w:sz w:val="21"/>
                      <w:szCs w:val="21"/>
                    </w:rPr>
                  </w:pPr>
                </w:p>
              </w:tc>
              <w:tc>
                <w:tcPr>
                  <w:tcW w:w="1045" w:type="dxa"/>
                  <w:vMerge w:val="continue"/>
                  <w:noWrap w:val="0"/>
                  <w:vAlign w:val="top"/>
                </w:tcPr>
                <w:p>
                  <w:pPr>
                    <w:rPr>
                      <w:rFonts w:hint="eastAsia" w:ascii="宋体" w:hAnsi="宋体" w:eastAsia="宋体" w:cs="宋体"/>
                      <w:sz w:val="21"/>
                      <w:szCs w:val="21"/>
                    </w:rPr>
                  </w:pPr>
                </w:p>
              </w:tc>
              <w:tc>
                <w:tcPr>
                  <w:tcW w:w="1810" w:type="dxa"/>
                  <w:vMerge w:val="continue"/>
                  <w:noWrap w:val="0"/>
                  <w:vAlign w:val="top"/>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6" w:type="dxa"/>
                  <w:vMerge w:val="continue"/>
                  <w:tcBorders>
                    <w:bottom w:val="single" w:color="auto" w:sz="4" w:space="0"/>
                  </w:tcBorders>
                  <w:noWrap w:val="0"/>
                  <w:vAlign w:val="center"/>
                </w:tcPr>
                <w:p>
                  <w:pPr>
                    <w:jc w:val="center"/>
                    <w:rPr>
                      <w:rFonts w:hint="eastAsia" w:ascii="宋体" w:hAnsi="宋体" w:eastAsia="宋体" w:cs="宋体"/>
                      <w:sz w:val="21"/>
                      <w:szCs w:val="21"/>
                    </w:rPr>
                  </w:pPr>
                </w:p>
              </w:tc>
              <w:tc>
                <w:tcPr>
                  <w:tcW w:w="1187" w:type="dxa"/>
                  <w:vMerge w:val="continue"/>
                  <w:tcBorders>
                    <w:bottom w:val="single" w:color="auto" w:sz="4" w:space="0"/>
                  </w:tcBorders>
                  <w:noWrap w:val="0"/>
                  <w:vAlign w:val="center"/>
                </w:tcPr>
                <w:p>
                  <w:pPr>
                    <w:jc w:val="center"/>
                    <w:rPr>
                      <w:rFonts w:hint="eastAsia" w:ascii="宋体" w:hAnsi="宋体" w:eastAsia="宋体" w:cs="宋体"/>
                      <w:sz w:val="21"/>
                      <w:szCs w:val="21"/>
                    </w:rPr>
                  </w:pPr>
                </w:p>
              </w:tc>
              <w:tc>
                <w:tcPr>
                  <w:tcW w:w="3588" w:type="dxa"/>
                  <w:tcBorders>
                    <w:bottom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化学品管理不善引发的火灾、化学品使用潜在泄漏</w:t>
                  </w:r>
                </w:p>
              </w:tc>
              <w:tc>
                <w:tcPr>
                  <w:tcW w:w="1031" w:type="dxa"/>
                  <w:vMerge w:val="continue"/>
                  <w:tcBorders>
                    <w:bottom w:val="single" w:color="auto" w:sz="4" w:space="0"/>
                  </w:tcBorders>
                  <w:noWrap w:val="0"/>
                  <w:vAlign w:val="top"/>
                </w:tcPr>
                <w:p>
                  <w:pPr>
                    <w:rPr>
                      <w:rFonts w:hint="eastAsia" w:ascii="宋体" w:hAnsi="宋体" w:eastAsia="宋体" w:cs="宋体"/>
                      <w:sz w:val="21"/>
                      <w:szCs w:val="21"/>
                    </w:rPr>
                  </w:pPr>
                </w:p>
              </w:tc>
              <w:tc>
                <w:tcPr>
                  <w:tcW w:w="1045" w:type="dxa"/>
                  <w:vMerge w:val="continue"/>
                  <w:tcBorders>
                    <w:bottom w:val="single" w:color="auto" w:sz="4" w:space="0"/>
                  </w:tcBorders>
                  <w:noWrap w:val="0"/>
                  <w:vAlign w:val="top"/>
                </w:tcPr>
                <w:p>
                  <w:pPr>
                    <w:rPr>
                      <w:rFonts w:hint="eastAsia" w:ascii="宋体" w:hAnsi="宋体" w:eastAsia="宋体" w:cs="宋体"/>
                      <w:sz w:val="21"/>
                      <w:szCs w:val="21"/>
                    </w:rPr>
                  </w:pPr>
                </w:p>
              </w:tc>
              <w:tc>
                <w:tcPr>
                  <w:tcW w:w="1810" w:type="dxa"/>
                  <w:vMerge w:val="continue"/>
                  <w:tcBorders>
                    <w:bottom w:val="single" w:color="auto" w:sz="4" w:space="0"/>
                  </w:tcBorders>
                  <w:noWrap w:val="0"/>
                  <w:vAlign w:val="top"/>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6" w:type="dxa"/>
                  <w:vMerge w:val="restar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1187" w:type="dxa"/>
                  <w:vMerge w:val="restar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危废弃物的</w:t>
                  </w:r>
                </w:p>
                <w:p>
                  <w:pPr>
                    <w:jc w:val="center"/>
                    <w:rPr>
                      <w:rFonts w:hint="eastAsia" w:ascii="宋体" w:hAnsi="宋体" w:eastAsia="宋体" w:cs="宋体"/>
                      <w:sz w:val="21"/>
                      <w:szCs w:val="21"/>
                    </w:rPr>
                  </w:pPr>
                  <w:r>
                    <w:rPr>
                      <w:rFonts w:hint="eastAsia" w:ascii="宋体" w:hAnsi="宋体" w:eastAsia="宋体" w:cs="宋体"/>
                      <w:sz w:val="21"/>
                      <w:szCs w:val="21"/>
                    </w:rPr>
                    <w:t>排放</w:t>
                  </w:r>
                </w:p>
              </w:tc>
              <w:tc>
                <w:tcPr>
                  <w:tcW w:w="3588"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设备维修后含油棉纱布、含油配件的处置</w:t>
                  </w:r>
                </w:p>
              </w:tc>
              <w:tc>
                <w:tcPr>
                  <w:tcW w:w="1031"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危险废弃物的综合性污染</w:t>
                  </w:r>
                </w:p>
              </w:tc>
              <w:tc>
                <w:tcPr>
                  <w:tcW w:w="1045"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将来/正常</w:t>
                  </w:r>
                </w:p>
              </w:tc>
              <w:tc>
                <w:tcPr>
                  <w:tcW w:w="1810"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管理方案/环境影响运行控制程序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6" w:type="dxa"/>
                  <w:vMerge w:val="continue"/>
                  <w:noWrap w:val="0"/>
                  <w:vAlign w:val="center"/>
                </w:tcPr>
                <w:p>
                  <w:pPr>
                    <w:jc w:val="center"/>
                    <w:rPr>
                      <w:rFonts w:hint="eastAsia" w:ascii="宋体" w:hAnsi="宋体" w:eastAsia="宋体" w:cs="宋体"/>
                      <w:sz w:val="21"/>
                      <w:szCs w:val="21"/>
                    </w:rPr>
                  </w:pPr>
                </w:p>
              </w:tc>
              <w:tc>
                <w:tcPr>
                  <w:tcW w:w="1187" w:type="dxa"/>
                  <w:vMerge w:val="continue"/>
                  <w:noWrap w:val="0"/>
                  <w:vAlign w:val="center"/>
                </w:tcPr>
                <w:p>
                  <w:pPr>
                    <w:jc w:val="center"/>
                    <w:rPr>
                      <w:rFonts w:hint="eastAsia" w:ascii="宋体" w:hAnsi="宋体" w:eastAsia="宋体" w:cs="宋体"/>
                      <w:sz w:val="21"/>
                      <w:szCs w:val="21"/>
                    </w:rPr>
                  </w:pPr>
                </w:p>
              </w:tc>
              <w:tc>
                <w:tcPr>
                  <w:tcW w:w="3588"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车间和仓库的废油漆桶、漆渣和包装物的排放</w:t>
                  </w:r>
                </w:p>
              </w:tc>
              <w:tc>
                <w:tcPr>
                  <w:tcW w:w="1031" w:type="dxa"/>
                  <w:vMerge w:val="continue"/>
                  <w:noWrap w:val="0"/>
                  <w:vAlign w:val="center"/>
                </w:tcPr>
                <w:p>
                  <w:pPr>
                    <w:rPr>
                      <w:rFonts w:hint="eastAsia" w:ascii="宋体" w:hAnsi="宋体" w:eastAsia="宋体" w:cs="宋体"/>
                      <w:sz w:val="21"/>
                      <w:szCs w:val="21"/>
                    </w:rPr>
                  </w:pPr>
                </w:p>
              </w:tc>
              <w:tc>
                <w:tcPr>
                  <w:tcW w:w="1045" w:type="dxa"/>
                  <w:vMerge w:val="continue"/>
                  <w:noWrap w:val="0"/>
                  <w:vAlign w:val="center"/>
                </w:tcPr>
                <w:p>
                  <w:pPr>
                    <w:rPr>
                      <w:rFonts w:hint="eastAsia" w:ascii="宋体" w:hAnsi="宋体" w:eastAsia="宋体" w:cs="宋体"/>
                      <w:sz w:val="21"/>
                      <w:szCs w:val="21"/>
                    </w:rPr>
                  </w:pPr>
                </w:p>
              </w:tc>
              <w:tc>
                <w:tcPr>
                  <w:tcW w:w="1810" w:type="dxa"/>
                  <w:vMerge w:val="continue"/>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396" w:type="dxa"/>
                  <w:vMerge w:val="continue"/>
                  <w:noWrap w:val="0"/>
                  <w:vAlign w:val="center"/>
                </w:tcPr>
                <w:p>
                  <w:pPr>
                    <w:jc w:val="center"/>
                    <w:rPr>
                      <w:rFonts w:hint="eastAsia" w:ascii="宋体" w:hAnsi="宋体" w:eastAsia="宋体" w:cs="宋体"/>
                      <w:sz w:val="21"/>
                      <w:szCs w:val="21"/>
                    </w:rPr>
                  </w:pPr>
                </w:p>
              </w:tc>
              <w:tc>
                <w:tcPr>
                  <w:tcW w:w="1187" w:type="dxa"/>
                  <w:vMerge w:val="continue"/>
                  <w:noWrap w:val="0"/>
                  <w:vAlign w:val="center"/>
                </w:tcPr>
                <w:p>
                  <w:pPr>
                    <w:jc w:val="center"/>
                    <w:rPr>
                      <w:rFonts w:hint="eastAsia" w:ascii="宋体" w:hAnsi="宋体" w:eastAsia="宋体" w:cs="宋体"/>
                      <w:sz w:val="21"/>
                      <w:szCs w:val="21"/>
                    </w:rPr>
                  </w:pPr>
                </w:p>
              </w:tc>
              <w:tc>
                <w:tcPr>
                  <w:tcW w:w="3588"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办公（废电池、废灯管、废硒鼓墨盒）</w:t>
                  </w:r>
                </w:p>
              </w:tc>
              <w:tc>
                <w:tcPr>
                  <w:tcW w:w="1031" w:type="dxa"/>
                  <w:vMerge w:val="continue"/>
                  <w:noWrap w:val="0"/>
                  <w:vAlign w:val="center"/>
                </w:tcPr>
                <w:p>
                  <w:pPr>
                    <w:rPr>
                      <w:rFonts w:hint="eastAsia" w:ascii="宋体" w:hAnsi="宋体" w:eastAsia="宋体" w:cs="宋体"/>
                      <w:sz w:val="21"/>
                      <w:szCs w:val="21"/>
                    </w:rPr>
                  </w:pPr>
                </w:p>
              </w:tc>
              <w:tc>
                <w:tcPr>
                  <w:tcW w:w="1045" w:type="dxa"/>
                  <w:vMerge w:val="continue"/>
                  <w:noWrap w:val="0"/>
                  <w:vAlign w:val="center"/>
                </w:tcPr>
                <w:p>
                  <w:pPr>
                    <w:rPr>
                      <w:rFonts w:hint="eastAsia" w:ascii="宋体" w:hAnsi="宋体" w:eastAsia="宋体" w:cs="宋体"/>
                      <w:sz w:val="21"/>
                      <w:szCs w:val="21"/>
                    </w:rPr>
                  </w:pPr>
                </w:p>
              </w:tc>
              <w:tc>
                <w:tcPr>
                  <w:tcW w:w="1810" w:type="dxa"/>
                  <w:vMerge w:val="continue"/>
                  <w:noWrap w:val="0"/>
                  <w:vAlign w:val="center"/>
                </w:tcPr>
                <w:p>
                  <w:pPr>
                    <w:rPr>
                      <w:rFonts w:hint="eastAsia" w:ascii="宋体" w:hAnsi="宋体" w:eastAsia="宋体" w:cs="宋体"/>
                      <w:sz w:val="21"/>
                      <w:szCs w:val="21"/>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val="en-US" w:eastAsia="zh-CN"/>
              </w:rPr>
              <w:t>叉车</w:t>
            </w:r>
            <w:r>
              <w:rPr>
                <w:rFonts w:hint="eastAsia" w:eastAsia="宋体"/>
                <w:szCs w:val="21"/>
                <w:lang w:val="en-US" w:eastAsia="zh-CN"/>
              </w:rPr>
              <w:t>报告编号：CJD202100615；检验结论：合格；检验机构：湖州市特种设备检测研究院；检验日期：2021年02月02日；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A3"/>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sym w:font="Wingdings 2" w:char="0052"/>
            </w:r>
            <w:r>
              <w:rPr>
                <w:rFonts w:hint="eastAsia"/>
              </w:rPr>
              <w:t>其他</w:t>
            </w:r>
          </w:p>
          <w:p>
            <w:pPr>
              <w:shd w:val="clear" w:color="auto" w:fill="EBF1DE" w:themeFill="accent3" w:themeFillTint="32"/>
              <w:jc w:val="left"/>
              <w:rPr>
                <w:rFonts w:hint="default" w:eastAsia="宋体"/>
                <w:lang w:val="en-US" w:eastAsia="zh-CN"/>
              </w:rPr>
            </w:pPr>
            <w:r>
              <w:rPr>
                <w:rFonts w:hint="eastAsia"/>
              </w:rPr>
              <w:t>可追溯性实现：</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在双氧水储存间未见MSDS。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sym w:font="Wingdings 2" w:char="0052"/>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18</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QSK0416006</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ascii="宋体" w:hAnsi="宋体" w:eastAsia="宋体"/>
                <w:color w:val="000000"/>
                <w:sz w:val="21"/>
                <w:szCs w:val="21"/>
                <w:u w:val="single"/>
                <w:lang w:val="en-US" w:eastAsia="zh-CN"/>
              </w:rPr>
              <w:t>2021年7月28日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15CB32F9"/>
    <w:multiLevelType w:val="multilevel"/>
    <w:tmpl w:val="15CB32F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9AFC4F"/>
    <w:multiLevelType w:val="singleLevel"/>
    <w:tmpl w:val="579AFC4F"/>
    <w:lvl w:ilvl="0" w:tentative="0">
      <w:start w:val="1"/>
      <w:numFmt w:val="decimal"/>
      <w:suff w:val="nothing"/>
      <w:lvlText w:val="%1、"/>
      <w:lvlJc w:val="left"/>
    </w:lvl>
  </w:abstractNum>
  <w:abstractNum w:abstractNumId="3">
    <w:nsid w:val="59F02D1B"/>
    <w:multiLevelType w:val="multilevel"/>
    <w:tmpl w:val="59F02D1B"/>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BD390D"/>
    <w:rsid w:val="088B006A"/>
    <w:rsid w:val="0C1846D4"/>
    <w:rsid w:val="14683940"/>
    <w:rsid w:val="16CF2F96"/>
    <w:rsid w:val="1DA758B8"/>
    <w:rsid w:val="1E3144E6"/>
    <w:rsid w:val="1FF005E0"/>
    <w:rsid w:val="20EA7912"/>
    <w:rsid w:val="23C524CB"/>
    <w:rsid w:val="27C63779"/>
    <w:rsid w:val="2D153E7A"/>
    <w:rsid w:val="2E5163AC"/>
    <w:rsid w:val="35355423"/>
    <w:rsid w:val="369D226B"/>
    <w:rsid w:val="3759610C"/>
    <w:rsid w:val="3998458E"/>
    <w:rsid w:val="3AE805EB"/>
    <w:rsid w:val="3EDE038E"/>
    <w:rsid w:val="46B46A75"/>
    <w:rsid w:val="47095ACB"/>
    <w:rsid w:val="48C15F4E"/>
    <w:rsid w:val="4BA732AA"/>
    <w:rsid w:val="55CE717E"/>
    <w:rsid w:val="60C22F84"/>
    <w:rsid w:val="631F3E74"/>
    <w:rsid w:val="64C53B76"/>
    <w:rsid w:val="65C9361B"/>
    <w:rsid w:val="65EB3163"/>
    <w:rsid w:val="67EC6925"/>
    <w:rsid w:val="697750DC"/>
    <w:rsid w:val="70481C6B"/>
    <w:rsid w:val="746E5379"/>
    <w:rsid w:val="76965234"/>
    <w:rsid w:val="7D2B1799"/>
    <w:rsid w:val="7DCF5482"/>
    <w:rsid w:val="7E107E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0"/>
        <w:numId w:val="1"/>
      </w:numPr>
      <w:adjustRightInd w:val="0"/>
      <w:snapToGrid w:val="0"/>
      <w:spacing w:before="50" w:beforeLines="50" w:after="50" w:afterLines="50" w:line="240" w:lineRule="auto"/>
      <w:ind w:left="0" w:firstLine="0"/>
      <w:jc w:val="left"/>
      <w:outlineLvl w:val="1"/>
    </w:pPr>
    <w:rPr>
      <w:rFonts w:ascii="宋体" w:hAnsi="宋体" w:eastAsia="宋体" w:cs="Times New Roman"/>
      <w:b/>
      <w:bCs/>
      <w:sz w:val="28"/>
      <w:szCs w:val="32"/>
      <w:lang w:val="zh-CN"/>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jc w:val="center"/>
    </w:pPr>
    <w:rPr>
      <w:sz w:val="18"/>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2</TotalTime>
  <ScaleCrop>false</ScaleCrop>
  <LinksUpToDate>false</LinksUpToDate>
  <CharactersWithSpaces>21158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wangxianhua</cp:lastModifiedBy>
  <cp:lastPrinted>2019-05-13T03:19:00Z</cp:lastPrinted>
  <dcterms:modified xsi:type="dcterms:W3CDTF">2021-10-31T01:47:58Z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