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0674-2020-QE-2021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天燚仪器制造（成都）有限公司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天燚仪器制造（成都）有限公司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四川省成都市锦江区晨辉西路56号附10-88号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四川省成都市新都区兴城大道1955号创想大厦3-307-308号</w:t>
            </w:r>
            <w:bookmarkEnd w:id="8"/>
          </w:p>
        </w:tc>
        <w:tc>
          <w:tcPr>
            <w:tcW w:w="1242" w:type="dxa"/>
            <w:vMerge w:val="continue"/>
            <w:vAlign w:val="center"/>
          </w:tcPr>
          <w:p/>
        </w:tc>
        <w:tc>
          <w:tcPr>
            <w:tcW w:w="1771" w:type="dxa"/>
          </w:tcPr>
          <w:p>
            <w:bookmarkStart w:id="9" w:name="办公邮编"/>
            <w:r>
              <w:t>610599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李洋</w:t>
            </w:r>
            <w:bookmarkEnd w:id="10"/>
          </w:p>
        </w:tc>
        <w:tc>
          <w:tcPr>
            <w:tcW w:w="1313" w:type="dxa"/>
            <w:vAlign w:val="center"/>
          </w:tcPr>
          <w:p>
            <w:r>
              <w:rPr>
                <w:rFonts w:hint="eastAsia"/>
              </w:rPr>
              <w:t>电话.</w:t>
            </w:r>
          </w:p>
        </w:tc>
        <w:tc>
          <w:tcPr>
            <w:tcW w:w="2180" w:type="dxa"/>
            <w:vAlign w:val="center"/>
          </w:tcPr>
          <w:p>
            <w:bookmarkStart w:id="11" w:name="联系人电话"/>
            <w:r>
              <w:t>18380352586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赵红霞</w:t>
            </w:r>
            <w:bookmarkEnd w:id="13"/>
          </w:p>
        </w:tc>
        <w:tc>
          <w:tcPr>
            <w:tcW w:w="1313" w:type="dxa"/>
            <w:vAlign w:val="center"/>
          </w:tcPr>
          <w:p>
            <w:r>
              <w:rPr>
                <w:rFonts w:hint="eastAsia"/>
              </w:rPr>
              <w:t>管理者代表</w:t>
            </w:r>
          </w:p>
        </w:tc>
        <w:tc>
          <w:tcPr>
            <w:tcW w:w="2180" w:type="dxa"/>
          </w:tcPr>
          <w:p>
            <w:bookmarkStart w:id="14" w:name="管理者代表"/>
            <w:r>
              <w:t>唐錄森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lang w:val="en-US" w:eastAsia="zh-CN"/>
              </w:rPr>
              <w:t>所需部件设计-外部加工（外部采购）-组装装配-设备功能调试-装箱待发</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2021年10月27日 上午至2021年10月28日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Q：微波消解仪、电热消解仪的研发及销售</w:t>
            </w:r>
          </w:p>
          <w:p>
            <w:r>
              <w:t>E：微波消解仪、电热消解仪的研发及销售所涉及场所相关的环境管理活动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Q：29.10.07;34.05.00</w:t>
            </w:r>
          </w:p>
          <w:p>
            <w:r>
              <w:t>E：29.10.07;34.05.00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lang w:eastAsia="zh-CN"/>
              </w:rPr>
              <w:t>2020年07月25日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管理体系运行已超过3个月</w:t>
            </w:r>
          </w:p>
        </w:tc>
        <w:tc>
          <w:tcPr>
            <w:tcW w:w="3215" w:type="dxa"/>
            <w:vAlign w:val="center"/>
          </w:tcPr>
          <w:p>
            <w:pPr>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2020年12月2日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认证证书有效期</w:t>
            </w:r>
          </w:p>
          <w:p>
            <w:pPr>
              <w:rPr>
                <w:rFonts w:hint="eastAsia" w:ascii="Times New Roman" w:hAnsi="Times New Roman" w:cs="Times New Roman"/>
              </w:rPr>
            </w:pPr>
            <w:r>
              <w:rPr>
                <w:rFonts w:hint="eastAsia" w:ascii="Times New Roman" w:hAnsi="Times New Roman" w:cs="Times New Roman"/>
              </w:rPr>
              <w:t>（初审除外）</w:t>
            </w:r>
          </w:p>
        </w:tc>
        <w:tc>
          <w:tcPr>
            <w:tcW w:w="3215" w:type="dxa"/>
            <w:vAlign w:val="center"/>
          </w:tcPr>
          <w:p>
            <w:pPr>
              <w:rPr>
                <w:rFonts w:hint="eastAsia" w:ascii="Times New Roman" w:hAnsi="Times New Roman" w:cs="Times New Roman"/>
              </w:rPr>
            </w:pPr>
            <w:r>
              <w:rPr>
                <w:rFonts w:hint="eastAsia" w:ascii="Times New Roman" w:hAnsi="Times New Roman" w:cs="Times New Roman"/>
              </w:rPr>
              <w:t>有效至</w:t>
            </w:r>
            <w:r>
              <w:rPr>
                <w:rFonts w:hint="eastAsia" w:ascii="Times New Roman" w:hAnsi="Times New Roman" w:cs="Times New Roman"/>
                <w:lang w:val="en-US" w:eastAsia="zh-CN"/>
              </w:rPr>
              <w:t>2023年12月3日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8"/>
        <w:gridCol w:w="13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58" w:type="dxa"/>
            <w:shd w:val="clear" w:color="auto" w:fill="F3F3F3"/>
            <w:tcMar>
              <w:left w:w="57" w:type="dxa"/>
              <w:right w:w="57" w:type="dxa"/>
            </w:tcMar>
          </w:tcPr>
          <w:p>
            <w:r>
              <w:rPr>
                <w:rFonts w:hint="eastAsia"/>
              </w:rPr>
              <w:t>审核范围（产品和过程）</w:t>
            </w:r>
          </w:p>
          <w:p/>
          <w:p/>
        </w:tc>
        <w:tc>
          <w:tcPr>
            <w:tcW w:w="13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天燚仪器制造（成都）有限公司</w:t>
            </w:r>
            <w:r>
              <w:rPr>
                <w:rFonts w:hint="eastAsia"/>
                <w:sz w:val="21"/>
                <w:szCs w:val="21"/>
                <w:lang w:val="en-US" w:eastAsia="zh-CN"/>
              </w:rPr>
              <w:t>/</w:t>
            </w:r>
            <w:r>
              <w:rPr>
                <w:rFonts w:asciiTheme="minorEastAsia" w:hAnsiTheme="minorEastAsia" w:eastAsiaTheme="minorEastAsia"/>
                <w:sz w:val="20"/>
              </w:rPr>
              <w:t>四川省成都市锦江区晨辉西路56号附10-88号</w:t>
            </w:r>
          </w:p>
        </w:tc>
        <w:tc>
          <w:tcPr>
            <w:tcW w:w="2267" w:type="dxa"/>
          </w:tcPr>
          <w:p>
            <w:pPr>
              <w:rPr>
                <w:lang w:val="de-DE" w:eastAsia="ja-JP"/>
              </w:rPr>
            </w:pPr>
            <w:bookmarkStart w:id="31" w:name="办公地址"/>
            <w:r>
              <w:rPr>
                <w:rFonts w:asciiTheme="minorEastAsia" w:hAnsiTheme="minorEastAsia" w:eastAsiaTheme="minorEastAsia"/>
                <w:sz w:val="20"/>
              </w:rPr>
              <w:t>四川省成都市新都区兴城大道1955号创想大厦3-307-308号</w:t>
            </w:r>
            <w:bookmarkEnd w:id="31"/>
          </w:p>
        </w:tc>
        <w:tc>
          <w:tcPr>
            <w:tcW w:w="571" w:type="dxa"/>
            <w:vAlign w:val="center"/>
          </w:tcPr>
          <w:p>
            <w:pPr>
              <w:rPr>
                <w:rFonts w:hint="eastAsia" w:eastAsia="宋体"/>
                <w:lang w:val="en-US" w:eastAsia="zh-CN"/>
              </w:rPr>
            </w:pPr>
            <w:r>
              <w:rPr>
                <w:rFonts w:hint="eastAsia"/>
                <w:lang w:val="en-US" w:eastAsia="zh-CN"/>
              </w:rPr>
              <w:t>7</w:t>
            </w:r>
          </w:p>
        </w:tc>
        <w:tc>
          <w:tcPr>
            <w:tcW w:w="2158" w:type="dxa"/>
            <w:vAlign w:val="center"/>
          </w:tcPr>
          <w:p>
            <w:pPr>
              <w:rPr>
                <w:rFonts w:hint="default" w:eastAsia="宋体"/>
                <w:lang w:val="en-US" w:eastAsia="zh-CN"/>
              </w:rPr>
            </w:pPr>
            <w:r>
              <w:rPr>
                <w:sz w:val="20"/>
              </w:rPr>
              <w:t>微波消解仪、电热消解仪的研发及销售</w:t>
            </w:r>
            <w:r>
              <w:rPr>
                <w:rFonts w:hint="eastAsia"/>
                <w:sz w:val="20"/>
                <w:lang w:val="en-US" w:eastAsia="zh-CN"/>
              </w:rPr>
              <w:t>所涉及的相关管理活动</w:t>
            </w:r>
          </w:p>
        </w:tc>
        <w:tc>
          <w:tcPr>
            <w:tcW w:w="1314"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8" w:type="dxa"/>
            <w:vAlign w:val="center"/>
          </w:tcPr>
          <w:p>
            <w:pPr>
              <w:rPr>
                <w:lang w:eastAsia="ja-JP"/>
              </w:rPr>
            </w:pPr>
          </w:p>
        </w:tc>
        <w:tc>
          <w:tcPr>
            <w:tcW w:w="13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8" w:type="dxa"/>
            <w:vAlign w:val="center"/>
          </w:tcPr>
          <w:p>
            <w:pPr>
              <w:rPr>
                <w:lang w:eastAsia="ja-JP"/>
              </w:rPr>
            </w:pPr>
          </w:p>
        </w:tc>
        <w:tc>
          <w:tcPr>
            <w:tcW w:w="13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8" w:type="dxa"/>
            <w:vAlign w:val="center"/>
          </w:tcPr>
          <w:p>
            <w:pPr>
              <w:rPr>
                <w:lang w:eastAsia="ja-JP"/>
              </w:rPr>
            </w:pPr>
          </w:p>
        </w:tc>
        <w:tc>
          <w:tcPr>
            <w:tcW w:w="13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8" w:type="dxa"/>
            <w:vAlign w:val="center"/>
          </w:tcPr>
          <w:p>
            <w:pPr>
              <w:rPr>
                <w:lang w:eastAsia="ja-JP"/>
              </w:rPr>
            </w:pPr>
          </w:p>
        </w:tc>
        <w:tc>
          <w:tcPr>
            <w:tcW w:w="131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Q:29.10.07,34.05.00</w:t>
            </w:r>
          </w:p>
          <w:p>
            <w: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微波消解仪、电热消解仪的研发及销售</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微波消解仪、电热消解仪的研发及销售所涉及场所相关的环境管理活动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■文化 ■社会 ■经济环境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 xml:space="preserve">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u w:val="single"/>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u w:val="singl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以稳定品质、完善服务、持续改进、满足顾客需求；</w:t>
            </w:r>
          </w:p>
          <w:p>
            <w:pPr>
              <w:spacing w:line="360" w:lineRule="auto"/>
              <w:rPr>
                <w:rFonts w:hint="eastAsia" w:ascii="Times New Roman" w:hAnsi="Times New Roman" w:eastAsia="宋体" w:cs="Times New Roman"/>
                <w:kern w:val="2"/>
                <w:sz w:val="21"/>
                <w:szCs w:val="24"/>
                <w:u w:val="single"/>
                <w:lang w:val="en-US" w:eastAsia="zh-CN" w:bidi="ar-SA"/>
              </w:rPr>
            </w:pPr>
            <w:r>
              <w:rPr>
                <w:rFonts w:hint="eastAsia" w:ascii="宋体" w:hAnsi="宋体" w:cs="宋体"/>
                <w:color w:val="auto"/>
                <w:szCs w:val="21"/>
                <w:highlight w:val="none"/>
                <w:u w:val="single"/>
              </w:rPr>
              <w:t>以安全生产、保护环境、守法诚信、体现社会责任。</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1、由</w:t>
                  </w:r>
                  <w:r>
                    <w:rPr>
                      <w:rFonts w:hint="eastAsia" w:cs="Times New Roman"/>
                      <w:b w:val="0"/>
                      <w:bCs w:val="0"/>
                      <w:highlight w:val="none"/>
                      <w:lang w:val="en-US" w:eastAsia="zh-CN"/>
                    </w:rPr>
                    <w:t>公司</w:t>
                  </w:r>
                  <w:r>
                    <w:rPr>
                      <w:rFonts w:hint="eastAsia" w:ascii="Times New Roman" w:hAnsi="Times New Roman" w:eastAsia="宋体" w:cs="Times New Roman"/>
                      <w:b w:val="0"/>
                      <w:bCs w:val="0"/>
                      <w:highlight w:val="none"/>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highlight w:val="none"/>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26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7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highlight w:val="yellow"/>
                      <w:lang w:val="en-US" w:eastAsia="zh-CN"/>
                    </w:rPr>
                  </w:pPr>
                  <w:r>
                    <w:rPr>
                      <w:rFonts w:hint="eastAsia"/>
                      <w:highlight w:val="yellow"/>
                    </w:rPr>
                    <w:t>顾客投诉≤3次/年；</w:t>
                  </w:r>
                </w:p>
              </w:tc>
              <w:tc>
                <w:tcPr>
                  <w:tcW w:w="2673" w:type="dxa"/>
                  <w:shd w:val="clear" w:color="auto" w:fill="auto"/>
                  <w:vAlign w:val="center"/>
                </w:tcPr>
                <w:p>
                  <w:pPr>
                    <w:shd w:val="clear" w:color="auto" w:fill="C7DAF1" w:themeFill="text2" w:themeFillTint="32"/>
                    <w:rPr>
                      <w:rFonts w:hint="eastAsia"/>
                      <w:highlight w:val="yellow"/>
                      <w:lang w:val="en-GB" w:eastAsia="zh-CN"/>
                    </w:rPr>
                  </w:pPr>
                  <w:r>
                    <w:rPr>
                      <w:rFonts w:hint="eastAsia"/>
                      <w:highlight w:val="yellow"/>
                    </w:rPr>
                    <w:t>顾客投诉发生数</w:t>
                  </w:r>
                </w:p>
              </w:tc>
              <w:tc>
                <w:tcPr>
                  <w:tcW w:w="1350" w:type="dxa"/>
                  <w:shd w:val="clear" w:color="auto" w:fill="auto"/>
                  <w:vAlign w:val="center"/>
                </w:tcPr>
                <w:p>
                  <w:pPr>
                    <w:shd w:val="clear" w:color="auto" w:fill="C7DAF1" w:themeFill="text2" w:themeFillTint="32"/>
                    <w:rPr>
                      <w:rFonts w:hint="default"/>
                      <w:highlight w:val="yellow"/>
                      <w:lang w:val="en-US" w:eastAsia="zh-CN"/>
                    </w:rPr>
                  </w:pPr>
                  <w:r>
                    <w:rPr>
                      <w:rFonts w:hint="eastAsia"/>
                      <w:highlight w:val="yellow"/>
                      <w:lang w:val="en-US" w:eastAsia="zh-CN"/>
                    </w:rPr>
                    <w:t xml:space="preserve">全部门 </w:t>
                  </w:r>
                </w:p>
              </w:tc>
              <w:tc>
                <w:tcPr>
                  <w:tcW w:w="1774" w:type="dxa"/>
                  <w:shd w:val="clear" w:color="auto" w:fill="auto"/>
                  <w:vAlign w:val="center"/>
                </w:tcPr>
                <w:p>
                  <w:pPr>
                    <w:shd w:val="clear" w:color="auto" w:fill="C7DAF1" w:themeFill="text2" w:themeFillTint="32"/>
                    <w:rPr>
                      <w:rFonts w:hint="default"/>
                      <w:highlight w:val="yellow"/>
                      <w:lang w:val="en-GB" w:eastAsia="zh-CN"/>
                    </w:rPr>
                  </w:pPr>
                  <w:r>
                    <w:rPr>
                      <w:rFonts w:hint="eastAsia"/>
                      <w:highlight w:val="yellow"/>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highlight w:val="yellow"/>
                      <w:lang w:val="en-US" w:eastAsia="zh-CN"/>
                    </w:rPr>
                  </w:pPr>
                  <w:r>
                    <w:rPr>
                      <w:rFonts w:hint="eastAsia"/>
                      <w:highlight w:val="yellow"/>
                    </w:rPr>
                    <w:t>项目服务合格率100﹪；</w:t>
                  </w:r>
                </w:p>
              </w:tc>
              <w:tc>
                <w:tcPr>
                  <w:tcW w:w="2673" w:type="dxa"/>
                  <w:shd w:val="clear" w:color="auto" w:fill="auto"/>
                  <w:vAlign w:val="center"/>
                </w:tcPr>
                <w:p>
                  <w:pPr>
                    <w:shd w:val="clear" w:color="auto" w:fill="C7DAF1" w:themeFill="text2" w:themeFillTint="32"/>
                    <w:rPr>
                      <w:rFonts w:hint="eastAsia"/>
                      <w:highlight w:val="yellow"/>
                      <w:lang w:val="en-US" w:eastAsia="zh-CN"/>
                    </w:rPr>
                  </w:pPr>
                  <w:r>
                    <w:rPr>
                      <w:rFonts w:hint="eastAsia"/>
                      <w:highlight w:val="yellow"/>
                    </w:rPr>
                    <w:t>一次合格次数÷总次数×100%</w:t>
                  </w:r>
                </w:p>
              </w:tc>
              <w:tc>
                <w:tcPr>
                  <w:tcW w:w="1350" w:type="dxa"/>
                  <w:shd w:val="clear" w:color="auto" w:fill="auto"/>
                  <w:vAlign w:val="center"/>
                </w:tcPr>
                <w:p>
                  <w:pPr>
                    <w:shd w:val="clear" w:color="auto" w:fill="C7DAF1" w:themeFill="text2" w:themeFillTint="32"/>
                    <w:rPr>
                      <w:rFonts w:hint="default"/>
                      <w:highlight w:val="yellow"/>
                      <w:lang w:val="en-US" w:eastAsia="zh-CN"/>
                    </w:rPr>
                  </w:pPr>
                  <w:r>
                    <w:rPr>
                      <w:rFonts w:hint="eastAsia"/>
                      <w:highlight w:val="yellow"/>
                      <w:lang w:val="en-US" w:eastAsia="zh-CN"/>
                    </w:rPr>
                    <w:t xml:space="preserve">全部门 </w:t>
                  </w:r>
                </w:p>
              </w:tc>
              <w:tc>
                <w:tcPr>
                  <w:tcW w:w="1774" w:type="dxa"/>
                  <w:shd w:val="clear" w:color="auto" w:fill="auto"/>
                  <w:vAlign w:val="center"/>
                </w:tcPr>
                <w:p>
                  <w:pPr>
                    <w:shd w:val="clear" w:color="auto" w:fill="C7DAF1" w:themeFill="text2" w:themeFillTint="32"/>
                    <w:rPr>
                      <w:rFonts w:hint="default"/>
                      <w:highlight w:val="yellow"/>
                      <w:lang w:val="en-US" w:eastAsia="zh-CN"/>
                    </w:rPr>
                  </w:pPr>
                  <w:r>
                    <w:rPr>
                      <w:rFonts w:hint="eastAsia"/>
                      <w:highlight w:val="yello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highlight w:val="yellow"/>
                      <w:lang w:val="en-US" w:eastAsia="zh-CN"/>
                    </w:rPr>
                  </w:pPr>
                  <w:r>
                    <w:rPr>
                      <w:rFonts w:hint="eastAsia"/>
                      <w:highlight w:val="yellow"/>
                    </w:rPr>
                    <w:t>满意率调查得分95分以上</w:t>
                  </w:r>
                </w:p>
              </w:tc>
              <w:tc>
                <w:tcPr>
                  <w:tcW w:w="2673" w:type="dxa"/>
                  <w:shd w:val="clear" w:color="auto" w:fill="auto"/>
                  <w:vAlign w:val="center"/>
                </w:tcPr>
                <w:p>
                  <w:pPr>
                    <w:shd w:val="clear" w:color="auto" w:fill="C7DAF1" w:themeFill="text2" w:themeFillTint="32"/>
                    <w:rPr>
                      <w:rFonts w:hint="eastAsia"/>
                      <w:highlight w:val="yellow"/>
                      <w:lang w:val="en-US" w:eastAsia="zh-CN"/>
                    </w:rPr>
                  </w:pPr>
                  <w:r>
                    <w:rPr>
                      <w:rFonts w:hint="eastAsia"/>
                      <w:highlight w:val="yellow"/>
                    </w:rPr>
                    <w:t>问卷调查平均分</w:t>
                  </w:r>
                </w:p>
              </w:tc>
              <w:tc>
                <w:tcPr>
                  <w:tcW w:w="1350" w:type="dxa"/>
                  <w:shd w:val="clear" w:color="auto" w:fill="auto"/>
                  <w:vAlign w:val="center"/>
                </w:tcPr>
                <w:p>
                  <w:pPr>
                    <w:shd w:val="clear" w:color="auto" w:fill="C7DAF1" w:themeFill="text2" w:themeFillTint="32"/>
                    <w:rPr>
                      <w:rFonts w:hint="default"/>
                      <w:highlight w:val="yellow"/>
                      <w:lang w:val="en-US" w:eastAsia="zh-CN"/>
                    </w:rPr>
                  </w:pPr>
                  <w:r>
                    <w:rPr>
                      <w:rFonts w:hint="eastAsia"/>
                      <w:highlight w:val="yellow"/>
                      <w:lang w:val="en-US" w:eastAsia="zh-CN"/>
                    </w:rPr>
                    <w:t>业务部</w:t>
                  </w:r>
                </w:p>
              </w:tc>
              <w:tc>
                <w:tcPr>
                  <w:tcW w:w="1774" w:type="dxa"/>
                  <w:shd w:val="clear" w:color="auto" w:fill="auto"/>
                  <w:vAlign w:val="center"/>
                </w:tcPr>
                <w:p>
                  <w:pPr>
                    <w:shd w:val="clear" w:color="auto" w:fill="C7DAF1" w:themeFill="text2" w:themeFillTint="32"/>
                    <w:rPr>
                      <w:rFonts w:hint="default"/>
                      <w:highlight w:val="yellow"/>
                      <w:lang w:val="en-US" w:eastAsia="zh-CN"/>
                    </w:rPr>
                  </w:pPr>
                  <w:r>
                    <w:rPr>
                      <w:rFonts w:hint="eastAsia"/>
                      <w:highlight w:val="yellow"/>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tcPr>
                <w:p>
                  <w:pPr>
                    <w:shd w:val="clear" w:color="auto" w:fill="C7DAF1" w:themeFill="text2" w:themeFillTint="32"/>
                    <w:rPr>
                      <w:rFonts w:hint="eastAsia"/>
                    </w:rPr>
                  </w:pPr>
                </w:p>
              </w:tc>
              <w:tc>
                <w:tcPr>
                  <w:tcW w:w="2673" w:type="dxa"/>
                  <w:shd w:val="clear" w:color="auto" w:fill="auto"/>
                  <w:vAlign w:val="center"/>
                </w:tcPr>
                <w:p>
                  <w:pPr>
                    <w:shd w:val="clear" w:color="auto" w:fill="C7DAF1" w:themeFill="text2" w:themeFillTint="32"/>
                    <w:rPr>
                      <w:rFonts w:hint="eastAsia"/>
                    </w:rPr>
                  </w:pPr>
                </w:p>
              </w:tc>
              <w:tc>
                <w:tcPr>
                  <w:tcW w:w="1350" w:type="dxa"/>
                  <w:shd w:val="clear" w:color="auto" w:fill="auto"/>
                  <w:vAlign w:val="center"/>
                </w:tcPr>
                <w:p>
                  <w:pPr>
                    <w:shd w:val="clear" w:color="auto" w:fill="C7DAF1" w:themeFill="text2" w:themeFillTint="32"/>
                    <w:rPr>
                      <w:rFonts w:hint="eastAsia"/>
                    </w:rPr>
                  </w:pPr>
                </w:p>
              </w:tc>
              <w:tc>
                <w:tcPr>
                  <w:tcW w:w="1774" w:type="dxa"/>
                  <w:shd w:val="clear" w:color="auto" w:fill="auto"/>
                  <w:vAlign w:val="center"/>
                </w:tcPr>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tcPr>
                <w:p>
                  <w:pPr>
                    <w:shd w:val="clear" w:color="auto" w:fill="C7DAF1" w:themeFill="text2" w:themeFillTint="32"/>
                  </w:pPr>
                </w:p>
              </w:tc>
              <w:tc>
                <w:tcPr>
                  <w:tcW w:w="267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w:t>
            </w:r>
            <w:r>
              <w:rPr>
                <w:rFonts w:hint="eastAsia"/>
                <w:highlight w:val="none"/>
              </w:rPr>
              <w:t>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280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yellow"/>
                <w:u w:val="single"/>
              </w:rPr>
            </w:pPr>
            <w:r>
              <w:rPr>
                <w:rFonts w:hint="eastAsia"/>
                <w:highlight w:val="none"/>
              </w:rPr>
              <w:t>主要生产设备有：</w:t>
            </w:r>
            <w:r>
              <w:rPr>
                <w:rFonts w:hint="eastAsia" w:ascii="宋体" w:hAnsi="宋体" w:cs="宋体"/>
                <w:color w:val="auto"/>
                <w:szCs w:val="21"/>
                <w:highlight w:val="none"/>
                <w:lang w:val="en-US" w:eastAsia="zh-CN"/>
              </w:rPr>
              <w:t>笔记本电脑、台式电脑、打印机、电话、solideworks、CAD、Altium Designer、visual TFT软件</w:t>
            </w:r>
            <w:r>
              <w:rPr>
                <w:rFonts w:hint="eastAsia" w:ascii="宋体" w:hAnsi="宋体" w:cs="宋体"/>
                <w:color w:val="auto"/>
                <w:szCs w:val="21"/>
                <w:highlight w:val="none"/>
              </w:rPr>
              <w:t>等</w:t>
            </w:r>
            <w:r>
              <w:rPr>
                <w:rFonts w:hint="eastAsia" w:ascii="宋体" w:hAnsi="宋体"/>
                <w:szCs w:val="21"/>
              </w:rPr>
              <w:t>等</w:t>
            </w:r>
          </w:p>
          <w:p>
            <w:pPr>
              <w:shd w:val="clear" w:color="auto" w:fill="C7DAF1" w:themeFill="text2"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rPr>
              <w:sym w:font="Wingdings 2" w:char="00A3"/>
            </w:r>
            <w:r>
              <w:rPr>
                <w:rFonts w:hint="eastAsia"/>
              </w:rPr>
              <w:t xml:space="preserve">锅炉 </w:t>
            </w:r>
            <w:r>
              <w:rPr>
                <w:rFonts w:hint="eastAsia"/>
              </w:rPr>
              <w:sym w:font="Wingdings 2" w:char="00A3"/>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A3"/>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A3"/>
            </w:r>
            <w:r>
              <w:rPr>
                <w:rFonts w:hint="eastAsia"/>
              </w:rPr>
              <w:t xml:space="preserve">外校 </w:t>
            </w:r>
          </w:p>
          <w:p>
            <w:pPr>
              <w:shd w:val="clear" w:color="auto" w:fill="C7DAF1" w:themeFill="text2" w:themeFillTint="32"/>
              <w:rPr>
                <w:highlight w:val="yellow"/>
                <w:u w:val="single"/>
              </w:rPr>
            </w:pPr>
            <w:r>
              <w:rPr>
                <w:rFonts w:hint="eastAsia"/>
              </w:rPr>
              <w:t>国家</w:t>
            </w:r>
            <w:r>
              <w:rPr>
                <w:rFonts w:hint="eastAsia"/>
                <w:highlight w:val="none"/>
              </w:rPr>
              <w:t>强检的计量器具有：</w:t>
            </w:r>
            <w:r>
              <w:rPr>
                <w:rFonts w:hint="eastAsia"/>
                <w:highlight w:val="none"/>
                <w:u w:val="single"/>
              </w:rPr>
              <w:t xml:space="preserve">   </w:t>
            </w:r>
            <w:r>
              <w:rPr>
                <w:rFonts w:hint="eastAsia" w:ascii="宋体" w:hAnsi="宋体"/>
                <w:szCs w:val="21"/>
                <w:highlight w:val="none"/>
                <w:u w:val="single"/>
                <w:lang w:val="en-US" w:eastAsia="zh-CN"/>
              </w:rPr>
              <w:t xml:space="preserve">      </w:t>
            </w:r>
            <w:r>
              <w:rPr>
                <w:rFonts w:hint="eastAsia" w:ascii="Times New Roman" w:hAnsi="Times New Roman" w:eastAsia="宋体" w:cs="Times New Roman"/>
                <w:highlight w:val="none"/>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 xml:space="preserve">加工工艺 ■生产经验  ■管理软件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hint="eastAsia" w:ascii="Wingdings" w:hAnsi="Wingdings"/>
                <w:lang w:eastAsia="zh-CN"/>
              </w:rPr>
              <w:t>□</w:t>
            </w:r>
            <w:r>
              <w:rPr>
                <w:rFonts w:hint="eastAsia"/>
              </w:rPr>
              <w:t xml:space="preserve">检测计划   ■接收准则  ■外包控制要求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lang w:eastAsia="zh-CN"/>
              </w:rPr>
              <w:t>□</w:t>
            </w:r>
            <w:r>
              <w:rPr>
                <w:rFonts w:hint="eastAsia"/>
              </w:rPr>
              <w:t xml:space="preserve">企业标准  ■顾客要求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■顾客要求 </w:t>
            </w:r>
            <w:r>
              <w:rPr>
                <w:rFonts w:hint="eastAsia" w:ascii="Wingdings" w:hAnsi="Wingdings"/>
                <w:lang w:eastAsia="zh-CN"/>
              </w:rPr>
              <w:t>□</w:t>
            </w:r>
            <w:r>
              <w:rPr>
                <w:rFonts w:hint="eastAsia"/>
              </w:rPr>
              <w:t>运输  ■其他</w:t>
            </w:r>
          </w:p>
          <w:p>
            <w:pPr>
              <w:shd w:val="clear" w:color="auto" w:fill="C7DAF1" w:themeFill="text2" w:themeFillTint="32"/>
              <w:jc w:val="left"/>
            </w:pPr>
            <w:r>
              <w:rPr>
                <w:rFonts w:hint="eastAsia"/>
              </w:rPr>
              <w:t xml:space="preserve">提供给外部供方的信息■符合要求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highlight w:val="yellow"/>
                      <w:lang w:val="en-US" w:eastAsia="zh-CN"/>
                    </w:rPr>
                  </w:pPr>
                  <w:r>
                    <w:rPr>
                      <w:sz w:val="20"/>
                    </w:rPr>
                    <w:t>微波消解仪、电热消解仪的研发及销售</w:t>
                  </w:r>
                </w:p>
              </w:tc>
              <w:tc>
                <w:tcPr>
                  <w:tcW w:w="2687" w:type="dxa"/>
                </w:tcPr>
                <w:p>
                  <w:pPr>
                    <w:shd w:val="clear" w:color="auto" w:fill="C7DAF1" w:themeFill="text2" w:themeFillTint="32"/>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研发过程、销售服务过程</w:t>
                  </w:r>
                </w:p>
              </w:tc>
              <w:tc>
                <w:tcPr>
                  <w:tcW w:w="3265" w:type="dxa"/>
                </w:tcPr>
                <w:p>
                  <w:pPr>
                    <w:shd w:val="clear" w:color="auto" w:fill="C7DAF1" w:themeFill="text2" w:themeFillTint="32"/>
                    <w:jc w:val="left"/>
                    <w:rPr>
                      <w:rFonts w:hint="default" w:eastAsia="宋体"/>
                      <w:highlight w:val="none"/>
                      <w:lang w:val="en-US" w:eastAsia="zh-CN"/>
                    </w:rPr>
                  </w:pPr>
                  <w:r>
                    <w:rPr>
                      <w:rFonts w:hint="eastAsia" w:eastAsia="宋体"/>
                      <w:highlight w:val="none"/>
                      <w:lang w:val="en-US" w:eastAsia="zh-CN"/>
                    </w:rPr>
                    <w:t>按照指导书进行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highlight w:val="none"/>
                <w:u w:val="single"/>
                <w:lang w:val="en-US" w:eastAsia="zh-CN"/>
              </w:rPr>
              <w:t>研发过程、销售服务过程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lang w:eastAsia="zh-CN"/>
              </w:rPr>
              <w:t>□</w:t>
            </w:r>
            <w:r>
              <w:rPr>
                <w:rFonts w:hint="eastAsia"/>
              </w:rPr>
              <w:t xml:space="preserve">容器编号 ■人员编号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 xml:space="preserve">原材料 ■设备 </w:t>
            </w:r>
            <w:r>
              <w:rPr>
                <w:rFonts w:hint="eastAsia" w:ascii="Wingdings" w:hAnsi="Wingdings"/>
                <w:lang w:eastAsia="zh-CN"/>
              </w:rPr>
              <w:sym w:font="Wingdings 2" w:char="00A3"/>
            </w:r>
            <w:r>
              <w:rPr>
                <w:rFonts w:hint="eastAsia"/>
              </w:rPr>
              <w:t xml:space="preserve">检测设备 ■图纸 </w:t>
            </w:r>
            <w:r>
              <w:rPr>
                <w:rFonts w:hint="eastAsia" w:ascii="Wingdings" w:hAnsi="Wingdings"/>
                <w:lang w:eastAsia="zh-CN"/>
              </w:rPr>
              <w:t>□</w:t>
            </w:r>
            <w:r>
              <w:rPr>
                <w:rFonts w:hint="eastAsia"/>
              </w:rPr>
              <w:t xml:space="preserve">配方 ■个人信息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A3"/>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 xml:space="preserve">已发生的更改包括：■重要原材料 ■设备 </w:t>
            </w:r>
            <w:r>
              <w:rPr>
                <w:rFonts w:hint="eastAsia" w:ascii="Wingdings" w:hAnsi="Wingdings"/>
                <w:lang w:eastAsia="zh-CN"/>
              </w:rPr>
              <w:sym w:font="Wingdings 2" w:char="00A3"/>
            </w:r>
            <w:r>
              <w:rPr>
                <w:rFonts w:hint="eastAsia"/>
              </w:rPr>
              <w:t xml:space="preserve">检测设备 ■图纸 ■工艺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A3"/>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A3"/>
            </w:r>
            <w:r>
              <w:rPr>
                <w:rFonts w:hint="eastAsia"/>
              </w:rPr>
              <w:t xml:space="preserve">过程检验 </w:t>
            </w:r>
            <w:r>
              <w:rPr>
                <w:rFonts w:hint="eastAsia" w:ascii="Wingdings" w:hAnsi="Wingdings"/>
                <w:lang w:eastAsia="zh-CN"/>
              </w:rPr>
              <w:sym w:font="Wingdings 2" w:char="00A3"/>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lang w:eastAsia="zh-CN"/>
              </w:rPr>
              <w:t>□</w:t>
            </w:r>
            <w:r>
              <w:rPr>
                <w:rFonts w:hint="eastAsia"/>
              </w:rPr>
              <w:t xml:space="preserve">顾客座谈 ■市场占有率分析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ascii="宋体" w:hAnsi="宋体" w:cs="宋体"/>
                <w:color w:val="auto"/>
                <w:szCs w:val="21"/>
                <w:highlight w:val="none"/>
                <w:u w:val="single"/>
                <w:lang w:val="en-US" w:eastAsia="zh-CN"/>
              </w:rPr>
              <w:t xml:space="preserve">2021年8月13日 </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highlight w:val="none"/>
              </w:rPr>
              <w:t>间隔，在</w:t>
            </w:r>
            <w:r>
              <w:rPr>
                <w:rFonts w:hint="eastAsia"/>
                <w:highlight w:val="none"/>
                <w:u w:val="single"/>
              </w:rPr>
              <w:t xml:space="preserve"> </w:t>
            </w:r>
            <w:r>
              <w:rPr>
                <w:rFonts w:hint="eastAsia" w:ascii="宋体" w:hAnsi="宋体" w:cs="宋体"/>
                <w:color w:val="auto"/>
                <w:szCs w:val="21"/>
                <w:highlight w:val="none"/>
                <w:u w:val="single"/>
                <w:lang w:val="en-US" w:eastAsia="zh-CN"/>
              </w:rPr>
              <w:t xml:space="preserve">2021年9月4日 </w:t>
            </w:r>
            <w:r>
              <w:rPr>
                <w:rFonts w:hint="eastAsia"/>
                <w:highlight w:val="none"/>
              </w:rPr>
              <w:t>对组织的质量管理体系进行了评审，以确保其持续的适宜性、充分性和有效</w:t>
            </w:r>
            <w:r>
              <w:rPr>
                <w:rFonts w:hint="eastAsia"/>
              </w:rPr>
              <w:t>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autoSpaceDE w:val="0"/>
        <w:autoSpaceDN w:val="0"/>
        <w:adjustRightInd w:val="0"/>
        <w:snapToGrid w:val="0"/>
        <w:rPr>
          <w:rFonts w:eastAsia="微软雅黑"/>
          <w:b/>
          <w:bCs/>
          <w:sz w:val="20"/>
          <w:szCs w:val="20"/>
        </w:rPr>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rPr>
              <w:sym w:font="Wingdings 2" w:char="00A3"/>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rPr>
              <w:sym w:font="Wingdings 2" w:char="00A3"/>
            </w:r>
            <w:r>
              <w:rPr>
                <w:rFonts w:hint="eastAsia"/>
              </w:rPr>
              <w:t xml:space="preserve">危化品管理 □特种设备管理 </w:t>
            </w:r>
          </w:p>
          <w:p>
            <w:pPr>
              <w:shd w:val="clear" w:color="auto" w:fill="EBF1DE" w:themeFill="accent3" w:themeFillTint="32"/>
              <w:spacing w:before="40" w:after="40"/>
            </w:pPr>
            <w:r>
              <w:rPr>
                <w:rFonts w:hint="eastAsia"/>
              </w:rPr>
              <w:t xml:space="preserve">□环评三同时 </w:t>
            </w:r>
            <w:r>
              <w:rPr>
                <w:rFonts w:hint="eastAsia"/>
              </w:rPr>
              <w:sym w:font="Wingdings 2" w:char="00A3"/>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 xml:space="preserve">生产/服务过程 □环保监测 □产品运输 </w:t>
            </w:r>
            <w:r>
              <w:rPr>
                <w:rFonts w:hint="eastAsia"/>
                <w:lang w:eastAsia="zh-CN"/>
              </w:rPr>
              <w:t>■</w:t>
            </w:r>
            <w:r>
              <w:rPr>
                <w:rFonts w:hint="eastAsia"/>
              </w:rPr>
              <w:t>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rFonts w:hint="eastAsia"/>
              </w:rPr>
            </w:pPr>
            <w:r>
              <w:rPr>
                <w:rFonts w:hint="eastAsia"/>
              </w:rPr>
              <w:t>最高管理者制定了文件化的管理体系方针：</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以稳定品质、完善服务、持续改进、满足顾客需求；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以安全生产、保护环境、守法诚信、体现社会责任。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imes New Roman" w:hAnsi="Times New Roman" w:eastAsia="宋体" w:cs="Times New Roman"/>
                      <w:color w:val="000000"/>
                      <w:kern w:val="2"/>
                      <w:sz w:val="21"/>
                      <w:szCs w:val="24"/>
                      <w:lang w:val="en-US" w:eastAsia="zh-CN" w:bidi="ar-SA"/>
                    </w:rPr>
                  </w:pPr>
                  <w: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default" w:ascii="Times New Roman" w:hAnsi="Times New Roman" w:eastAsia="宋体" w:cs="Times New Roman"/>
                      <w:color w:val="000000"/>
                      <w:kern w:val="2"/>
                      <w:sz w:val="21"/>
                      <w:szCs w:val="24"/>
                      <w:lang w:val="en-US" w:eastAsia="zh-CN" w:bidi="ar-SA"/>
                    </w:rPr>
                  </w:pPr>
                  <w: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302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23" w:type="dxa"/>
                  <w:shd w:val="clear" w:color="auto" w:fill="auto"/>
                </w:tcPr>
                <w:p>
                  <w:pPr>
                    <w:shd w:val="clear" w:color="auto" w:fill="EBF1DE" w:themeFill="accent3" w:themeFillTint="32"/>
                    <w:rPr>
                      <w:rFonts w:hint="eastAsia"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eastAsia="宋体" w:cs="Times New Roman"/>
                      <w:lang w:val="en-US" w:eastAsia="zh-CN"/>
                    </w:rPr>
                  </w:pPr>
                  <w:r>
                    <w:rPr>
                      <w:rFonts w:hint="eastAsia" w:ascii="宋体" w:hAnsi="宋体"/>
                      <w:color w:val="auto"/>
                      <w:szCs w:val="21"/>
                      <w:highlight w:val="none"/>
                    </w:rPr>
                    <w:t>对固体废弃物100%处理</w:t>
                  </w:r>
                </w:p>
              </w:tc>
              <w:tc>
                <w:tcPr>
                  <w:tcW w:w="3023"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废弃物处理数</w:t>
                  </w:r>
                  <w:r>
                    <w:rPr>
                      <w:rFonts w:hint="eastAsia" w:ascii="宋体" w:hAnsi="宋体" w:eastAsia="宋体" w:cs="Times New Roman"/>
                    </w:rPr>
                    <w:t>÷总固体废弃物×100%</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火灾事故发生次数为0；</w:t>
                  </w:r>
                </w:p>
              </w:tc>
              <w:tc>
                <w:tcPr>
                  <w:tcW w:w="3023"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火灾事故发生次数</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default" w:ascii="宋体" w:hAnsi="宋体"/>
                      <w:lang w:val="en-US" w:eastAsia="zh-CN"/>
                    </w:rPr>
                  </w:pPr>
                </w:p>
              </w:tc>
              <w:tc>
                <w:tcPr>
                  <w:tcW w:w="3023" w:type="dxa"/>
                  <w:shd w:val="clear" w:color="auto" w:fill="auto"/>
                  <w:vAlign w:val="center"/>
                </w:tcPr>
                <w:p>
                  <w:pPr>
                    <w:shd w:val="clear" w:color="auto" w:fill="EBF1DE" w:themeFill="accent3" w:themeFillTint="32"/>
                    <w:rPr>
                      <w:rFonts w:hint="eastAsia" w:ascii="宋体" w:hAnsi="宋体"/>
                      <w:lang w:val="en-US" w:eastAsia="zh-CN"/>
                    </w:rPr>
                  </w:pPr>
                </w:p>
              </w:tc>
              <w:tc>
                <w:tcPr>
                  <w:tcW w:w="1350" w:type="dxa"/>
                  <w:shd w:val="clear" w:color="auto" w:fill="auto"/>
                  <w:vAlign w:val="center"/>
                </w:tcPr>
                <w:p>
                  <w:pPr>
                    <w:shd w:val="clear" w:color="auto" w:fill="EBF1DE" w:themeFill="accent3" w:themeFillTint="32"/>
                    <w:rPr>
                      <w:rFonts w:hint="default" w:ascii="宋体" w:hAnsi="宋体"/>
                      <w:lang w:val="en-US" w:eastAsia="zh-CN"/>
                    </w:rPr>
                  </w:pPr>
                </w:p>
              </w:tc>
              <w:tc>
                <w:tcPr>
                  <w:tcW w:w="1774" w:type="dxa"/>
                  <w:shd w:val="clear" w:color="auto" w:fill="auto"/>
                  <w:vAlign w:val="top"/>
                </w:tcPr>
                <w:p>
                  <w:pPr>
                    <w:shd w:val="clear" w:color="auto" w:fill="EBF1DE" w:themeFill="accent3" w:themeFillTint="32"/>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lang w:val="en-US" w:eastAsia="zh-CN"/>
                    </w:rPr>
                  </w:pPr>
                </w:p>
              </w:tc>
              <w:tc>
                <w:tcPr>
                  <w:tcW w:w="3023" w:type="dxa"/>
                  <w:shd w:val="clear" w:color="auto" w:fill="auto"/>
                  <w:vAlign w:val="center"/>
                </w:tcPr>
                <w:p>
                  <w:pPr>
                    <w:shd w:val="clear" w:color="auto" w:fill="EBF1DE" w:themeFill="accent3" w:themeFillTint="32"/>
                    <w:rPr>
                      <w:rFonts w:hint="eastAsia"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p>
              </w:tc>
              <w:tc>
                <w:tcPr>
                  <w:tcW w:w="1774" w:type="dxa"/>
                  <w:shd w:val="clear" w:color="auto" w:fill="auto"/>
                  <w:vAlign w:val="top"/>
                </w:tcPr>
                <w:p>
                  <w:pPr>
                    <w:shd w:val="clear" w:color="auto" w:fill="EBF1DE" w:themeFill="accent3" w:themeFillTint="32"/>
                    <w:rPr>
                      <w:rFonts w:hint="eastAsia" w:ascii="宋体" w:hAnsi="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宋体" w:hAnsi="宋体"/>
                <w:sz w:val="21"/>
                <w:szCs w:val="21"/>
              </w:rPr>
              <w:t>办公场所面积</w:t>
            </w:r>
            <w:r>
              <w:rPr>
                <w:rFonts w:hint="eastAsia" w:ascii="宋体" w:hAnsi="宋体"/>
                <w:sz w:val="21"/>
                <w:szCs w:val="21"/>
                <w:lang w:val="en-US" w:eastAsia="zh-CN"/>
              </w:rPr>
              <w:t>280</w:t>
            </w:r>
            <w:r>
              <w:rPr>
                <w:rFonts w:hint="eastAsia" w:ascii="宋体" w:hAnsi="宋体"/>
                <w:sz w:val="21"/>
                <w:szCs w:val="21"/>
                <w:highlight w:val="none"/>
              </w:rPr>
              <w:t>平方左右</w:t>
            </w:r>
            <w:r>
              <w:rPr>
                <w:rFonts w:hint="eastAsia" w:ascii="Times New Roman" w:hAnsi="Times New Roman" w:eastAsia="宋体" w:cs="Times New Roman"/>
                <w:highlight w:val="none"/>
              </w:rPr>
              <w:t xml:space="preserve">；生产车间 </w:t>
            </w:r>
            <w:r>
              <w:rPr>
                <w:rFonts w:hint="eastAsia" w:cs="Times New Roman"/>
                <w:highlight w:val="none"/>
                <w:lang w:val="en-US" w:eastAsia="zh-CN"/>
              </w:rPr>
              <w:t xml:space="preserve"> </w:t>
            </w:r>
            <w:r>
              <w:rPr>
                <w:rFonts w:hint="eastAsia" w:ascii="Times New Roman" w:hAnsi="Times New Roman" w:eastAsia="宋体" w:cs="Times New Roman"/>
                <w:highlight w:val="none"/>
              </w:rPr>
              <w:t xml:space="preserve"> 个；库房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宋体" w:hAnsi="宋体" w:cs="宋体"/>
                <w:color w:val="auto"/>
                <w:szCs w:val="21"/>
                <w:highlight w:val="none"/>
                <w:lang w:val="en-US" w:eastAsia="zh-CN"/>
              </w:rPr>
              <w:t>笔记本电脑、台式电脑、打印机、电话、solideworks、CAD、Altium Designer、visual TFT软件</w:t>
            </w:r>
            <w:r>
              <w:rPr>
                <w:rFonts w:hint="eastAsia" w:ascii="宋体" w:hAnsi="宋体" w:cs="宋体"/>
                <w:color w:val="auto"/>
                <w:szCs w:val="21"/>
                <w:highlight w:val="none"/>
              </w:rPr>
              <w:t>等</w:t>
            </w:r>
            <w:r>
              <w:rPr>
                <w:rFonts w:hint="eastAsia" w:ascii="宋体" w:hAnsi="宋体"/>
                <w:szCs w:val="21"/>
              </w:rPr>
              <w:t>等</w:t>
            </w:r>
          </w:p>
          <w:p>
            <w:pPr>
              <w:shd w:val="clear" w:color="auto" w:fill="EBF1DE" w:themeFill="accent3" w:themeFillTint="32"/>
              <w:rPr>
                <w:rFonts w:hint="eastAsia" w:ascii="Wingdings" w:hAnsi="Wingdings"/>
                <w:highlight w:val="none"/>
                <w:lang w:eastAsia="zh-CN"/>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shd w:val="clear" w:color="auto" w:fill="EBF1DE" w:themeFill="accent3" w:themeFillTint="32"/>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A3"/>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highlight w:val="none"/>
              </w:rPr>
            </w:pPr>
            <w:r>
              <w:rPr>
                <w:rFonts w:hint="eastAsia" w:eastAsia="宋体"/>
                <w:highlight w:val="none"/>
              </w:rPr>
              <w:t xml:space="preserve">通过 </w:t>
            </w:r>
            <w:r>
              <w:rPr>
                <w:rFonts w:hint="eastAsia" w:eastAsia="宋体"/>
                <w:highlight w:val="none"/>
                <w:lang w:eastAsia="zh-CN"/>
              </w:rPr>
              <w:t>■</w:t>
            </w:r>
            <w:r>
              <w:rPr>
                <w:rFonts w:hint="eastAsia" w:eastAsia="宋体"/>
                <w:highlight w:val="none"/>
              </w:rPr>
              <w:t xml:space="preserve">招聘 </w:t>
            </w:r>
            <w:r>
              <w:rPr>
                <w:rFonts w:hint="eastAsia" w:eastAsia="宋体"/>
                <w:highlight w:val="none"/>
                <w:lang w:eastAsia="zh-CN"/>
              </w:rPr>
              <w:t>□</w:t>
            </w:r>
            <w:r>
              <w:rPr>
                <w:rFonts w:hint="eastAsia" w:eastAsia="宋体"/>
                <w:highlight w:val="none"/>
              </w:rPr>
              <w:t xml:space="preserve">换岗 </w:t>
            </w:r>
            <w:r>
              <w:rPr>
                <w:rFonts w:hint="eastAsia" w:eastAsia="宋体"/>
                <w:highlight w:val="none"/>
                <w:lang w:eastAsia="zh-CN"/>
              </w:rPr>
              <w:t>■</w:t>
            </w:r>
            <w:r>
              <w:rPr>
                <w:rFonts w:hint="eastAsia" w:eastAsia="宋体"/>
                <w:highlight w:val="none"/>
              </w:rPr>
              <w:t xml:space="preserve">培训  </w:t>
            </w:r>
            <w:r>
              <w:rPr>
                <w:rFonts w:hint="eastAsia" w:eastAsia="宋体"/>
                <w:highlight w:val="none"/>
                <w:lang w:eastAsia="zh-CN"/>
              </w:rPr>
              <w:t>■</w:t>
            </w:r>
            <w:r>
              <w:rPr>
                <w:rFonts w:hint="eastAsia" w:eastAsia="宋体"/>
                <w:highlight w:val="none"/>
              </w:rPr>
              <w:t xml:space="preserve">考核   </w:t>
            </w:r>
            <w:r>
              <w:rPr>
                <w:rFonts w:hint="eastAsia" w:eastAsia="宋体"/>
                <w:highlight w:val="none"/>
                <w:lang w:eastAsia="zh-CN"/>
              </w:rPr>
              <w:t>□</w:t>
            </w:r>
            <w:r>
              <w:rPr>
                <w:rFonts w:hint="eastAsia" w:eastAsia="宋体"/>
                <w:highlight w:val="none"/>
              </w:rPr>
              <w:t xml:space="preserve">辅导  </w:t>
            </w:r>
            <w:r>
              <w:rPr>
                <w:rFonts w:hint="eastAsia" w:eastAsia="宋体"/>
                <w:highlight w:val="none"/>
                <w:lang w:eastAsia="zh-CN"/>
              </w:rPr>
              <w:sym w:font="Wingdings 2" w:char="00A3"/>
            </w:r>
            <w:r>
              <w:rPr>
                <w:rFonts w:hint="eastAsia" w:eastAsia="宋体"/>
                <w:highlight w:val="none"/>
              </w:rPr>
              <w:t>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rFonts w:hint="default" w:eastAsia="宋体"/>
                <w:highlight w:val="none"/>
                <w:lang w:val="en-US" w:eastAsia="zh-CN"/>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 xml:space="preserve"> </w:t>
            </w:r>
          </w:p>
          <w:p>
            <w:pPr>
              <w:shd w:val="clear" w:color="auto" w:fill="EBF1DE" w:themeFill="accent3"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eastAsia="宋体"/>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eastAsia="宋体"/>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u w:val="single"/>
              </w:rPr>
            </w:pPr>
            <w:r>
              <w:rPr>
                <w:rFonts w:hint="eastAsia"/>
              </w:rPr>
              <w:t>审核期间内，设计和开发新产品/项目名称：</w:t>
            </w:r>
            <w:r>
              <w:rPr>
                <w:rFonts w:hint="eastAsia"/>
                <w:u w:val="single"/>
                <w:lang w:eastAsia="zh-CN"/>
              </w:rPr>
              <w:t>（</w:t>
            </w:r>
            <w:r>
              <w:rPr>
                <w:rFonts w:hint="eastAsia"/>
                <w:u w:val="single"/>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 xml:space="preserve"> </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检测设备</w:t>
            </w:r>
            <w:r>
              <w:rPr>
                <w:rFonts w:hint="eastAsia"/>
                <w:lang w:val="en-US" w:eastAsia="zh-CN"/>
              </w:rPr>
              <w:t xml:space="preserve">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lang w:val="en-US" w:eastAsia="zh-CN"/>
              </w:rPr>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ascii="宋体" w:hAnsi="宋体" w:cs="宋体"/>
                <w:szCs w:val="21"/>
                <w:lang w:eastAsia="zh-CN"/>
              </w:rPr>
              <w:t>》、</w:t>
            </w:r>
            <w:r>
              <w:rPr>
                <w:rFonts w:hint="eastAsia" w:cs="宋体"/>
                <w:szCs w:val="21"/>
              </w:rPr>
              <w:t>《</w:t>
            </w:r>
            <w:r>
              <w:rPr>
                <w:rFonts w:hint="eastAsia" w:cs="宋体"/>
                <w:szCs w:val="21"/>
                <w:lang w:val="en-US" w:eastAsia="zh-CN"/>
              </w:rPr>
              <w:t>触电</w:t>
            </w:r>
            <w:r>
              <w:rPr>
                <w:rFonts w:hint="eastAsia" w:ascii="宋体" w:hAnsi="宋体" w:cs="宋体"/>
                <w:szCs w:val="21"/>
              </w:rPr>
              <w:t>应急疏散预案</w:t>
            </w:r>
            <w:r>
              <w:rPr>
                <w:rFonts w:hint="eastAsia" w:cs="宋体"/>
                <w:szCs w:val="21"/>
              </w:rPr>
              <w:t>》</w:t>
            </w:r>
            <w:r>
              <w:rPr>
                <w:rFonts w:hint="eastAsia" w:cs="宋体"/>
                <w:szCs w:val="21"/>
                <w:lang w:val="en-US" w:eastAsia="zh-CN"/>
              </w:rPr>
              <w:t>等</w:t>
            </w:r>
          </w:p>
          <w:p>
            <w:pPr>
              <w:shd w:val="clear" w:color="auto" w:fill="EBF1DE" w:themeFill="accent3" w:themeFillTint="32"/>
            </w:pPr>
            <w:r>
              <w:rPr>
                <w:rFonts w:hint="eastAsia" w:eastAsia="宋体"/>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highlight w:val="yellow"/>
                <w:u w:val="single"/>
              </w:rPr>
              <w:t>20</w:t>
            </w:r>
            <w:r>
              <w:rPr>
                <w:rFonts w:hint="eastAsia"/>
                <w:highlight w:val="yellow"/>
                <w:u w:val="single"/>
                <w:lang w:val="en-US" w:eastAsia="zh-CN"/>
              </w:rPr>
              <w:t>21</w:t>
            </w:r>
            <w:r>
              <w:rPr>
                <w:rFonts w:hint="eastAsia"/>
                <w:highlight w:val="yellow"/>
                <w:u w:val="single"/>
              </w:rPr>
              <w:t>年</w:t>
            </w:r>
            <w:r>
              <w:rPr>
                <w:rFonts w:hint="eastAsia"/>
                <w:highlight w:val="yellow"/>
                <w:u w:val="single"/>
                <w:lang w:val="en-US" w:eastAsia="zh-CN"/>
              </w:rPr>
              <w:t>6</w:t>
            </w:r>
            <w:r>
              <w:rPr>
                <w:rFonts w:hint="eastAsia"/>
                <w:highlight w:val="yellow"/>
                <w:u w:val="single"/>
              </w:rPr>
              <w:t>月</w:t>
            </w:r>
            <w:r>
              <w:rPr>
                <w:rFonts w:hint="eastAsia"/>
                <w:highlight w:val="yellow"/>
                <w:u w:val="single"/>
                <w:lang w:val="en-US" w:eastAsia="zh-CN"/>
              </w:rPr>
              <w:t>10</w:t>
            </w:r>
            <w:r>
              <w:rPr>
                <w:rFonts w:hint="eastAsia"/>
                <w:highlight w:val="yellow"/>
                <w:u w:val="single"/>
              </w:rPr>
              <w:t>日</w:t>
            </w:r>
            <w:r>
              <w:rPr>
                <w:rFonts w:hint="eastAsia"/>
                <w:highlight w:val="yellow"/>
              </w:rPr>
              <w:t>进</w:t>
            </w:r>
            <w:r>
              <w:rPr>
                <w:rFonts w:hint="eastAsia"/>
              </w:rPr>
              <w:t>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ascii="宋体" w:hAnsi="宋体"/>
                <w:color w:val="auto"/>
                <w:szCs w:val="21"/>
                <w:highlight w:val="none"/>
              </w:rPr>
              <w:t>20</w:t>
            </w:r>
            <w:r>
              <w:rPr>
                <w:rFonts w:hint="eastAsia" w:ascii="宋体" w:hAnsi="宋体"/>
                <w:color w:val="auto"/>
                <w:szCs w:val="21"/>
                <w:highlight w:val="none"/>
                <w:lang w:val="en-US" w:eastAsia="zh-CN"/>
              </w:rPr>
              <w:t>21年7月20日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color w:val="auto"/>
                <w:szCs w:val="21"/>
                <w:highlight w:val="none"/>
                <w:lang w:val="en-US" w:eastAsia="zh-CN"/>
              </w:rPr>
              <w:t xml:space="preserve">2021年8月13日 </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w:t>
            </w:r>
            <w:r>
              <w:rPr>
                <w:rFonts w:hint="eastAsia"/>
                <w:highlight w:val="none"/>
              </w:rPr>
              <w:t xml:space="preserve">间隔，在 </w:t>
            </w:r>
            <w:r>
              <w:rPr>
                <w:rFonts w:hint="eastAsia" w:ascii="宋体" w:hAnsi="宋体" w:cs="宋体"/>
                <w:color w:val="auto"/>
                <w:szCs w:val="21"/>
                <w:highlight w:val="none"/>
                <w:lang w:val="en-US" w:eastAsia="zh-CN"/>
              </w:rPr>
              <w:t xml:space="preserve">2021年9月4日 </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bookmarkStart w:id="35" w:name="_GoBack"/>
            <w:bookmarkEnd w:id="35"/>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E76601"/>
    <w:rsid w:val="082E568E"/>
    <w:rsid w:val="0CB17826"/>
    <w:rsid w:val="0E5403C1"/>
    <w:rsid w:val="0E825F53"/>
    <w:rsid w:val="158825F3"/>
    <w:rsid w:val="18182D7D"/>
    <w:rsid w:val="1ABA231A"/>
    <w:rsid w:val="1EA01FD1"/>
    <w:rsid w:val="20112DFB"/>
    <w:rsid w:val="2A8B35F6"/>
    <w:rsid w:val="2B4C06F4"/>
    <w:rsid w:val="30AF05AA"/>
    <w:rsid w:val="30C24F6C"/>
    <w:rsid w:val="323759E8"/>
    <w:rsid w:val="32B1798F"/>
    <w:rsid w:val="32D47AEB"/>
    <w:rsid w:val="3B3F1099"/>
    <w:rsid w:val="3C4857C5"/>
    <w:rsid w:val="3FD94A4C"/>
    <w:rsid w:val="42845375"/>
    <w:rsid w:val="433A6FF4"/>
    <w:rsid w:val="460F70B2"/>
    <w:rsid w:val="469B7CDC"/>
    <w:rsid w:val="4F6D1EDE"/>
    <w:rsid w:val="549D68DE"/>
    <w:rsid w:val="6007498F"/>
    <w:rsid w:val="6066665B"/>
    <w:rsid w:val="63A160E7"/>
    <w:rsid w:val="64197920"/>
    <w:rsid w:val="682E1149"/>
    <w:rsid w:val="6D200141"/>
    <w:rsid w:val="6EBE1AC7"/>
    <w:rsid w:val="76F9431A"/>
    <w:rsid w:val="7BEE0614"/>
    <w:rsid w:val="7C3A2CD1"/>
    <w:rsid w:val="7EA667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2021-10-27T03:08:28Z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