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1074-2021-Q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樟树市王子酒业有限公司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樟树市王子酒业有限公司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bookmarkStart w:id="6" w:name="注册地址"/>
            <w:r>
              <w:t>江西省宜春市樟树市昌付镇</w:t>
            </w:r>
            <w:bookmarkEnd w:id="6"/>
            <w:r>
              <w:rPr>
                <w:rFonts w:hint="eastAsia"/>
                <w:lang w:eastAsia="zh-CN"/>
              </w:rPr>
              <w:t>城头村委古连石村</w:t>
            </w:r>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bookmarkStart w:id="8" w:name="生产地址"/>
            <w:r>
              <w:t>江西省宜春市樟树市昌付镇</w:t>
            </w:r>
            <w:bookmarkEnd w:id="8"/>
            <w:r>
              <w:rPr>
                <w:rFonts w:hint="eastAsia"/>
                <w:lang w:eastAsia="zh-CN"/>
              </w:rPr>
              <w:t>城头村委古连石村</w:t>
            </w:r>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陈云虎</w:t>
            </w:r>
            <w:bookmarkEnd w:id="10"/>
          </w:p>
        </w:tc>
        <w:tc>
          <w:tcPr>
            <w:tcW w:w="1313" w:type="dxa"/>
            <w:vAlign w:val="center"/>
          </w:tcPr>
          <w:p>
            <w:r>
              <w:rPr>
                <w:rFonts w:hint="eastAsia"/>
              </w:rPr>
              <w:t>电话.</w:t>
            </w:r>
          </w:p>
        </w:tc>
        <w:tc>
          <w:tcPr>
            <w:tcW w:w="2180" w:type="dxa"/>
            <w:vAlign w:val="center"/>
          </w:tcPr>
          <w:p>
            <w:bookmarkStart w:id="11" w:name="联系人电话"/>
            <w:r>
              <w:t>0795-7833000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陈云虎</w:t>
            </w:r>
            <w:bookmarkEnd w:id="13"/>
          </w:p>
        </w:tc>
        <w:tc>
          <w:tcPr>
            <w:tcW w:w="1313" w:type="dxa"/>
            <w:vAlign w:val="center"/>
          </w:tcPr>
          <w:p>
            <w:r>
              <w:rPr>
                <w:rFonts w:hint="eastAsia"/>
              </w:rPr>
              <w:t>管理者代表</w:t>
            </w:r>
          </w:p>
        </w:tc>
        <w:tc>
          <w:tcPr>
            <w:tcW w:w="2180" w:type="dxa"/>
          </w:tcPr>
          <w:p>
            <w:bookmarkStart w:id="14" w:name="管理者代表"/>
            <w:r>
              <w:t>陈云生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ascii="宋体"/>
                <w:color w:val="000000"/>
                <w:szCs w:val="21"/>
                <w:lang w:val="en-US" w:eastAsia="zh-CN"/>
              </w:rPr>
              <w:t>制曲——配料——蒸煮——拌曲——窖池发酵——出池——上甑——蒸馏——冷却——勾调——检验——包装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2021年10月30日 下午至2021年10月31日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en-US" w:eastAsia="zh-CN"/>
              </w:rPr>
              <w:t xml:space="preserve">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白酒的生产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03.10.01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w:t>
            </w:r>
            <w:r>
              <w:rPr>
                <w:rFonts w:hint="eastAsia"/>
                <w:lang w:val="en-US" w:eastAsia="zh-CN"/>
              </w:rPr>
              <w:t xml:space="preserve">        </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27</w:t>
            </w:r>
            <w:r>
              <w:rPr>
                <w:rFonts w:hint="eastAsia"/>
              </w:rPr>
              <w:t>日</w:t>
            </w:r>
            <w:r>
              <w:rPr>
                <w:rFonts w:hint="eastAsia"/>
                <w:lang w:eastAsia="zh-CN"/>
              </w:rPr>
              <w:t>（</w:t>
            </w:r>
            <w:r>
              <w:rPr>
                <w:rFonts w:hint="eastAsia"/>
                <w:lang w:val="en-US" w:eastAsia="zh-CN"/>
              </w:rPr>
              <w:t>一阶段</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樟树市王子酒业有限公司</w:t>
            </w:r>
          </w:p>
          <w:p>
            <w:pPr>
              <w:pStyle w:val="12"/>
              <w:rPr>
                <w:rFonts w:hint="eastAsia" w:eastAsia="宋体"/>
                <w:lang w:val="de-DE" w:eastAsia="zh-CN"/>
              </w:rPr>
            </w:pPr>
            <w:r>
              <w:t>江西省宜春市樟树市昌付镇</w:t>
            </w:r>
            <w:r>
              <w:rPr>
                <w:rFonts w:hint="eastAsia"/>
                <w:lang w:eastAsia="zh-CN"/>
              </w:rPr>
              <w:t>城头村委古连石村</w:t>
            </w:r>
          </w:p>
        </w:tc>
        <w:tc>
          <w:tcPr>
            <w:tcW w:w="2267" w:type="dxa"/>
          </w:tcPr>
          <w:p>
            <w:pPr>
              <w:rPr>
                <w:rFonts w:hint="eastAsia" w:eastAsia="宋体"/>
                <w:lang w:val="de-DE" w:eastAsia="zh-CN"/>
              </w:rPr>
            </w:pPr>
            <w:r>
              <w:rPr>
                <w:rFonts w:hint="eastAsia"/>
                <w:lang w:val="de-DE" w:eastAsia="ja-JP"/>
              </w:rPr>
              <w:t>江西省宜春市樟树市昌付镇</w:t>
            </w:r>
            <w:r>
              <w:rPr>
                <w:rFonts w:hint="eastAsia"/>
                <w:lang w:val="de-DE" w:eastAsia="zh-CN"/>
              </w:rPr>
              <w:t>城头村委古连石村</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rFonts w:hint="eastAsia" w:ascii="宋体" w:hAnsi="宋体"/>
                <w:b/>
                <w:color w:val="000000"/>
                <w:szCs w:val="21"/>
              </w:rPr>
              <w:t>白酒的生产</w:t>
            </w:r>
          </w:p>
        </w:tc>
        <w:tc>
          <w:tcPr>
            <w:tcW w:w="669" w:type="dxa"/>
            <w:vAlign w:val="center"/>
          </w:tcPr>
          <w:p>
            <w:pPr>
              <w:rPr>
                <w:lang w:eastAsia="ja-JP"/>
              </w:rPr>
            </w:pPr>
            <w:r>
              <w:rPr>
                <w:rFonts w:hint="eastAsia" w:eastAsia="黑体"/>
                <w:szCs w:val="21"/>
                <w:lang w:val="en-US" w:eastAsia="zh-CN"/>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熊文波</w:t>
            </w:r>
          </w:p>
        </w:tc>
        <w:tc>
          <w:tcPr>
            <w:tcW w:w="1089" w:type="dxa"/>
            <w:vAlign w:val="center"/>
          </w:tcPr>
          <w:p>
            <w:r>
              <w:t>组员</w:t>
            </w:r>
          </w:p>
        </w:tc>
        <w:tc>
          <w:tcPr>
            <w:tcW w:w="711" w:type="dxa"/>
            <w:vAlign w:val="center"/>
          </w:tcPr>
          <w:p>
            <w:r>
              <w:t>男</w:t>
            </w:r>
          </w:p>
        </w:tc>
        <w:tc>
          <w:tcPr>
            <w:tcW w:w="3870" w:type="dxa"/>
            <w:vAlign w:val="center"/>
          </w:tcPr>
          <w:p>
            <w:r>
              <w:t>ISC-JSZJ-406</w:t>
            </w:r>
          </w:p>
          <w:p>
            <w:r>
              <w:t>四特酒有限责任公司</w:t>
            </w:r>
          </w:p>
        </w:tc>
        <w:tc>
          <w:tcPr>
            <w:tcW w:w="2179" w:type="dxa"/>
            <w:vAlign w:val="center"/>
          </w:tcPr>
          <w:p>
            <w: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组员</w:t>
            </w:r>
          </w:p>
        </w:tc>
        <w:tc>
          <w:tcPr>
            <w:tcW w:w="711" w:type="dxa"/>
            <w:vAlign w:val="center"/>
          </w:tcPr>
          <w:p>
            <w:r>
              <w:t>男</w:t>
            </w:r>
          </w:p>
        </w:tc>
        <w:tc>
          <w:tcPr>
            <w:tcW w:w="3870" w:type="dxa"/>
            <w:vAlign w:val="center"/>
          </w:tcPr>
          <w:p>
            <w:r>
              <w:t>2019-N1QMS-1257737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169"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1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169"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shd w:val="clear" w:color="auto" w:fill="D7D7D7" w:themeFill="background1" w:themeFillShade="D8"/>
          </w:tcPr>
          <w:p>
            <w:r>
              <w:rPr>
                <w:rFonts w:hint="eastAsia"/>
              </w:rPr>
              <w:t>审核周期</w:t>
            </w:r>
          </w:p>
        </w:tc>
        <w:tc>
          <w:tcPr>
            <w:tcW w:w="8672"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pPr>
        <w:pStyle w:val="12"/>
      </w:pP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pPr>
        <w:pStyle w:val="12"/>
      </w:pP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pPr>
        <w:pStyle w:val="12"/>
      </w:pPr>
    </w:p>
    <w:p>
      <w:pPr>
        <w:pStyle w:val="12"/>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jc w:val="left"/>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bl>
    <w:tbl>
      <w:tblPr>
        <w:tblStyle w:val="8"/>
        <w:tblW w:w="10102"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4"/>
        <w:gridCol w:w="2871"/>
        <w:gridCol w:w="2764"/>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24" w:type="dxa"/>
            <w:vAlign w:val="center"/>
          </w:tcPr>
          <w:p>
            <w:pPr>
              <w:rPr>
                <w:rFonts w:ascii="宋体"/>
                <w:b/>
                <w:color w:val="auto"/>
                <w:szCs w:val="21"/>
              </w:rPr>
            </w:pPr>
            <w:r>
              <w:rPr>
                <w:rFonts w:hint="eastAsia" w:ascii="宋体"/>
                <w:b/>
                <w:color w:val="auto"/>
                <w:szCs w:val="21"/>
              </w:rPr>
              <w:t>突发事件的处置措施</w:t>
            </w:r>
          </w:p>
        </w:tc>
        <w:tc>
          <w:tcPr>
            <w:tcW w:w="8378" w:type="dxa"/>
            <w:gridSpan w:val="3"/>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24" w:type="dxa"/>
            <w:vMerge w:val="restart"/>
            <w:vAlign w:val="center"/>
          </w:tcPr>
          <w:p>
            <w:pPr>
              <w:rPr>
                <w:rFonts w:ascii="宋体"/>
                <w:b/>
                <w:color w:val="auto"/>
                <w:szCs w:val="21"/>
              </w:rPr>
            </w:pPr>
            <w:r>
              <w:rPr>
                <w:rFonts w:hint="eastAsia"/>
                <w:b/>
                <w:bCs/>
                <w:color w:val="auto"/>
              </w:rPr>
              <w:t>远程审核的有效性评价（适用时）</w:t>
            </w:r>
          </w:p>
        </w:tc>
        <w:tc>
          <w:tcPr>
            <w:tcW w:w="8378" w:type="dxa"/>
            <w:gridSpan w:val="3"/>
            <w:tcMar>
              <w:left w:w="113" w:type="dxa"/>
            </w:tcMar>
          </w:tcPr>
          <w:p>
            <w:pPr>
              <w:spacing w:line="280" w:lineRule="exact"/>
              <w:rPr>
                <w:color w:val="auto"/>
              </w:rPr>
            </w:pP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24" w:type="dxa"/>
            <w:vMerge w:val="continue"/>
            <w:vAlign w:val="center"/>
          </w:tcPr>
          <w:p>
            <w:pPr>
              <w:rPr>
                <w:rFonts w:ascii="宋体"/>
                <w:b/>
                <w:color w:val="auto"/>
                <w:szCs w:val="21"/>
              </w:rPr>
            </w:pPr>
          </w:p>
        </w:tc>
        <w:tc>
          <w:tcPr>
            <w:tcW w:w="8378" w:type="dxa"/>
            <w:gridSpan w:val="3"/>
            <w:tcMar>
              <w:left w:w="113" w:type="dxa"/>
            </w:tcMar>
          </w:tcPr>
          <w:p>
            <w:pPr>
              <w:spacing w:line="280" w:lineRule="exact"/>
              <w:rPr>
                <w:color w:val="auto"/>
              </w:rPr>
            </w:pPr>
            <w:r>
              <w:rPr>
                <w:rFonts w:hint="eastAsia" w:ascii="宋体" w:hAnsi="宋体"/>
                <w:b/>
                <w:color w:val="auto"/>
                <w:kern w:val="0"/>
                <w:sz w:val="20"/>
                <w:szCs w:val="20"/>
              </w:rPr>
              <w:drawing>
                <wp:anchor distT="0" distB="0" distL="114300" distR="114300" simplePos="0" relativeHeight="251659264" behindDoc="0" locked="0" layoutInCell="1" allowOverlap="1">
                  <wp:simplePos x="0" y="0"/>
                  <wp:positionH relativeFrom="column">
                    <wp:posOffset>187960</wp:posOffset>
                  </wp:positionH>
                  <wp:positionV relativeFrom="paragraph">
                    <wp:posOffset>344805</wp:posOffset>
                  </wp:positionV>
                  <wp:extent cx="936625" cy="564515"/>
                  <wp:effectExtent l="0" t="0" r="1587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36625" cy="564515"/>
                          </a:xfrm>
                          <a:prstGeom prst="rect">
                            <a:avLst/>
                          </a:prstGeom>
                          <a:noFill/>
                          <a:ln>
                            <a:noFill/>
                          </a:ln>
                        </pic:spPr>
                      </pic:pic>
                    </a:graphicData>
                  </a:graphic>
                </wp:anchor>
              </w:drawing>
            </w: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24" w:type="dxa"/>
          </w:tcPr>
          <w:p>
            <w:r>
              <w:rPr>
                <w:rFonts w:hint="eastAsia"/>
              </w:rPr>
              <w:t>审核组长签字</w:t>
            </w:r>
          </w:p>
        </w:tc>
        <w:tc>
          <w:tcPr>
            <w:tcW w:w="2871" w:type="dxa"/>
            <w:tcMar>
              <w:left w:w="113" w:type="dxa"/>
            </w:tcMar>
          </w:tcPr>
          <w:p/>
          <w:p/>
        </w:tc>
        <w:tc>
          <w:tcPr>
            <w:tcW w:w="2764" w:type="dxa"/>
            <w:tcMar>
              <w:left w:w="113" w:type="dxa"/>
            </w:tcMar>
          </w:tcPr>
          <w:p>
            <w:pPr>
              <w:rPr>
                <w:color w:val="auto"/>
              </w:rPr>
            </w:pPr>
            <w:r>
              <w:rPr>
                <w:rFonts w:hint="eastAsia"/>
                <w:color w:val="auto"/>
              </w:rPr>
              <w:t>日期</w:t>
            </w:r>
          </w:p>
        </w:tc>
        <w:tc>
          <w:tcPr>
            <w:tcW w:w="2743"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2021.11.1</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精益求精,以优质的产品谋求企业发展</w:t>
            </w:r>
            <w:r>
              <w:rPr>
                <w:rFonts w:hint="eastAsia"/>
                <w:u w:val="single"/>
                <w:lang w:eastAsia="zh-CN"/>
              </w:rPr>
              <w:t>；</w:t>
            </w:r>
            <w:r>
              <w:rPr>
                <w:rFonts w:hint="eastAsia"/>
                <w:u w:val="single"/>
              </w:rPr>
              <w:t>诚实守信,以一流的服务赢得客户满意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市场竞争情况</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通过网络，行业交流会、顾客沟通等分析同行业产品的竞争情况，包括价格、质量、服务等</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经济形势</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顺应大形势，合理布局，保证现有的产品的生产和销售。</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组织构架</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管理层建立简单、直观和有效的组织架构，便于管理的实施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确保产品一次交验合格率≥98%；</w:t>
                  </w:r>
                </w:p>
              </w:tc>
              <w:tc>
                <w:tcPr>
                  <w:tcW w:w="3136" w:type="dxa"/>
                  <w:shd w:val="clear" w:color="auto" w:fill="auto"/>
                  <w:vAlign w:val="center"/>
                </w:tcPr>
                <w:p>
                  <w:pPr>
                    <w:shd w:val="clear" w:color="auto" w:fill="C7DAF1" w:themeFill="text2" w:themeFillTint="32"/>
                    <w:rPr>
                      <w:lang w:val="en-GB"/>
                    </w:rPr>
                  </w:pPr>
                  <w:r>
                    <w:rPr>
                      <w:rFonts w:hint="eastAsia"/>
                      <w:lang w:val="en-GB"/>
                    </w:rPr>
                    <w:t>产品一次交验合格率=合格数 ÷ 交验总数 × 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产品一次校验合格率100%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出厂合格率100%；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产品出厂合格率=出厂的合格产品数/出厂的全部产品数× 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技术部</w:t>
                  </w:r>
                </w:p>
              </w:tc>
              <w:tc>
                <w:tcPr>
                  <w:tcW w:w="1774" w:type="dxa"/>
                  <w:shd w:val="clear" w:color="auto" w:fill="auto"/>
                  <w:vAlign w:val="center"/>
                </w:tcPr>
                <w:p>
                  <w:pPr>
                    <w:spacing w:line="400" w:lineRule="exact"/>
                    <w:rPr>
                      <w:rFonts w:ascii="宋体" w:hAnsi="宋体"/>
                    </w:rPr>
                  </w:pPr>
                  <w:r>
                    <w:rPr>
                      <w:rFonts w:hint="eastAsia" w:ascii="宋体" w:hAnsi="宋体" w:cs="宋体"/>
                      <w:sz w:val="22"/>
                      <w:szCs w:val="22"/>
                    </w:rPr>
                    <w:t>产品出厂合格率100%；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顾客满意度不低于95分；</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顾客满意率=调查单位中满意总分数÷调查单位数×100%；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cs="宋体"/>
                      <w:sz w:val="22"/>
                      <w:szCs w:val="22"/>
                    </w:rPr>
                    <w:t>顾客满意度达到9</w:t>
                  </w:r>
                  <w:r>
                    <w:rPr>
                      <w:rFonts w:hint="eastAsia" w:ascii="宋体" w:hAnsi="宋体" w:cs="宋体"/>
                      <w:sz w:val="22"/>
                      <w:szCs w:val="22"/>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w:t>
            </w:r>
            <w:r>
              <w:rPr>
                <w:rFonts w:hint="eastAsia"/>
              </w:rPr>
              <w:sym w:font="Wingdings 2" w:char="00A3"/>
            </w:r>
            <w:r>
              <w:rPr>
                <w:rFonts w:hint="eastAsia"/>
              </w:rPr>
              <w:t>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15000</w:t>
            </w:r>
            <w:r>
              <w:rPr>
                <w:rFonts w:hint="eastAsia"/>
                <w:highlight w:val="none"/>
              </w:rPr>
              <w:t>平方米；生产车间</w:t>
            </w:r>
            <w:r>
              <w:rPr>
                <w:rFonts w:hint="eastAsia"/>
                <w:highlight w:val="none"/>
                <w:lang w:val="en-US" w:eastAsia="zh-CN"/>
              </w:rPr>
              <w:t>2</w:t>
            </w:r>
            <w:r>
              <w:rPr>
                <w:rFonts w:hint="eastAsia"/>
                <w:highlight w:val="none"/>
              </w:rPr>
              <w:t>个；库房</w:t>
            </w:r>
            <w:r>
              <w:rPr>
                <w:rFonts w:hint="eastAsia"/>
                <w:highlight w:val="none"/>
                <w:lang w:val="en-US" w:eastAsia="zh-CN"/>
              </w:rPr>
              <w:t>2</w:t>
            </w:r>
            <w:r>
              <w:rPr>
                <w:rFonts w:hint="eastAsia"/>
                <w:highlight w:val="none"/>
              </w:rPr>
              <w:t>个；实验室</w:t>
            </w:r>
            <w:r>
              <w:rPr>
                <w:rFonts w:hint="eastAsia"/>
                <w:highlight w:val="none"/>
                <w:lang w:val="en-US" w:eastAsia="zh-CN"/>
              </w:rPr>
              <w:t>1</w:t>
            </w:r>
            <w:r>
              <w:rPr>
                <w:rFonts w:hint="eastAsia"/>
                <w:highlight w:val="none"/>
              </w:rPr>
              <w:t>个；</w:t>
            </w:r>
          </w:p>
          <w:p>
            <w:pPr>
              <w:shd w:val="clear" w:color="auto" w:fill="C7DAF1" w:themeFill="text2" w:themeFillTint="32"/>
              <w:rPr>
                <w:rFonts w:hint="eastAsia" w:eastAsia="宋体"/>
                <w:u w:val="single"/>
                <w:lang w:eastAsia="zh-CN"/>
              </w:rPr>
            </w:pPr>
            <w:r>
              <w:rPr>
                <w:rFonts w:hint="eastAsia"/>
                <w:highlight w:val="none"/>
              </w:rPr>
              <w:t>主要生产设备有：</w:t>
            </w:r>
            <w:r>
              <w:rPr>
                <w:rFonts w:hint="eastAsia"/>
                <w:highlight w:val="none"/>
                <w:u w:val="single"/>
                <w:lang w:val="en-US" w:eastAsia="zh-CN"/>
              </w:rPr>
              <w:t>窖池、</w:t>
            </w:r>
            <w:r>
              <w:rPr>
                <w:rFonts w:hint="eastAsia"/>
                <w:highlight w:val="none"/>
                <w:u w:val="single"/>
              </w:rPr>
              <w:t>拌料机、凉糟机、蒸馏设备、蒸汽锅炉、</w:t>
            </w:r>
            <w:r>
              <w:rPr>
                <w:rFonts w:hint="eastAsia"/>
                <w:u w:val="single"/>
              </w:rPr>
              <w:t>储酒罐、勾兑罐、抽酒泵、自动流水线、反冲洗机、灌装机、过滤机、反渗透水处理机</w:t>
            </w:r>
            <w:r>
              <w:rPr>
                <w:rFonts w:hint="eastAsia"/>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rPr>
              <w:t>酒精计、温度计、天平</w:t>
            </w:r>
            <w:r>
              <w:rPr>
                <w:rFonts w:hint="eastAsia"/>
                <w:u w:val="single"/>
                <w:lang w:eastAsia="zh-CN"/>
              </w:rPr>
              <w:t>、</w:t>
            </w:r>
            <w:r>
              <w:rPr>
                <w:rFonts w:hint="eastAsia"/>
                <w:u w:val="single"/>
                <w:lang w:val="en-US" w:eastAsia="zh-CN"/>
              </w:rPr>
              <w:t>气相色谱仪</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白酒</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配料、制曲、勾调</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lang w:val="en-US"/>
              </w:rPr>
            </w:pPr>
            <w:r>
              <w:rPr>
                <w:rFonts w:hint="eastAsia"/>
              </w:rPr>
              <w:t>需要确认的过程：</w:t>
            </w:r>
            <w:r>
              <w:rPr>
                <w:rFonts w:hint="eastAsia"/>
                <w:lang w:val="en-US" w:eastAsia="zh-CN"/>
              </w:rPr>
              <w:t>制曲、勾调</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r>
              <w:rPr>
                <w:rFonts w:hint="eastAsia"/>
                <w:lang w:val="en-US" w:eastAsia="zh-CN"/>
              </w:rPr>
              <w:t>-私人窖藏白酒</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w:t>
            </w:r>
            <w:r>
              <w:rPr>
                <w:rFonts w:hint="eastAsia"/>
                <w:u w:val="single"/>
                <w:lang w:val="en-US" w:eastAsia="zh-CN"/>
              </w:rPr>
              <w:t>委托检验报告</w:t>
            </w:r>
            <w:r>
              <w:rPr>
                <w:rFonts w:hint="eastAsia"/>
                <w:u w:val="single"/>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通过年度策划于2021年9月10日实施了质量管理体系内部审核，对质量管理体系的符合性和有效性进行了审核。内审发现的项不符合在本次审核前已完成整改。在公司内完成的这些审核是可信的。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最高管理者已按策划的时间间隔，在2021年9月24日对组织的质量管理体系进行了评审，以确保其持续的适宜性、充分性和有效性；管理评审输入、输出均按要求提供。并对提出的改进措施进行了落实。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highlight w:val="none"/>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7C19A7"/>
    <w:rsid w:val="2AD23181"/>
    <w:rsid w:val="40F333F8"/>
    <w:rsid w:val="6FD37B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8150</Words>
  <Characters>8719</Characters>
  <Lines>150</Lines>
  <Paragraphs>42</Paragraphs>
  <TotalTime>26</TotalTime>
  <ScaleCrop>false</ScaleCrop>
  <LinksUpToDate>false</LinksUpToDate>
  <CharactersWithSpaces>8817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2021-10-31T07:17:26Z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