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大庆萱威机械制造有限公司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0142-2019-2021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0142-2019-2021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大庆萱威机械制造有限公司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周雷</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ISC-2019-0495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2024-09-23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2021年10月26日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崔敬伟</w:t>
            </w:r>
          </w:p>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ascii="宋体" w:hAnsi="宋体"/>
                <w:color w:val="000000"/>
                <w:szCs w:val="21"/>
                <w:shd w:val="pct10" w:color="auto" w:fill="FFFFFF"/>
              </w:rPr>
              <w:t>中认协评[2020]188 号</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tabs>
                <w:tab w:val="left" w:pos="880"/>
              </w:tabs>
              <w:autoSpaceDE w:val="0"/>
              <w:autoSpaceDN w:val="0"/>
              <w:adjustRightInd w:val="0"/>
              <w:spacing w:before="35" w:line="276" w:lineRule="auto"/>
              <w:ind w:right="161"/>
              <w:rPr>
                <w:rFonts w:hint="eastAsia" w:cs="宋体" w:asciiTheme="minorEastAsia" w:hAnsiTheme="minorEastAsia"/>
                <w:bCs/>
                <w:kern w:val="0"/>
                <w:szCs w:val="21"/>
                <w:lang w:eastAsia="zh-CN"/>
              </w:rPr>
            </w:pPr>
            <w:r>
              <w:rPr>
                <w:rFonts w:hint="eastAsia" w:cs="宋体" w:asciiTheme="minorEastAsia" w:hAnsiTheme="minorEastAsia"/>
                <w:bCs/>
                <w:kern w:val="0"/>
                <w:szCs w:val="21"/>
                <w:lang w:eastAsia="zh-CN"/>
              </w:rPr>
              <w:t>生产技术部（车间）、</w:t>
            </w:r>
          </w:p>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bCs/>
                <w:kern w:val="0"/>
                <w:szCs w:val="21"/>
                <w:lang w:eastAsia="zh-CN"/>
              </w:rPr>
              <w:t>办公室、</w:t>
            </w:r>
            <w:r>
              <w:rPr>
                <w:rFonts w:hint="eastAsia" w:cs="宋体" w:asciiTheme="minorEastAsia" w:hAnsiTheme="minorEastAsia"/>
                <w:bCs/>
                <w:kern w:val="0"/>
                <w:szCs w:val="21"/>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11</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月至今，公司日常运行中生产经营平稳，企业未有违反法律、法规问题和产品质量问题的投诉或重大质量事故发生。企业营业执照等资质未发生变化。公司一年来重点做了以下工作：</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为有效评价公司测量管理体系</w:t>
      </w:r>
      <w:r>
        <w:rPr>
          <w:rFonts w:hint="eastAsia" w:cs="宋体" w:asciiTheme="minorEastAsia" w:hAnsiTheme="minorEastAsia"/>
          <w:bCs/>
          <w:kern w:val="0"/>
          <w:szCs w:val="21"/>
          <w:lang w:val="en-US" w:eastAsia="zh-CN"/>
        </w:rPr>
        <w:t>认证后一年以来运行情况，在大庆萱威机械制造有限公司现场审核中，审核组先、后抽样检查了涉及公司测量体系内的、生产、经营、质量和环境等方面的3个职能部门和生产车间。重点审核原材料进厂检测、产品出厂检验等测量过程及测量设备量值溯源完成情况等。该企业领导非常重视测量管理体系各项工作，完善了资源的配备，企业没有新增测量设备，企业制定的质量目标能按规定的内容和时间进行考核，2020年度质量目标完成情况较好；2021年度质量目标部分完成。大庆萱威机械制造有限公司测量管理体系的符合性、有效性及持续改进，符合GB/T 19022-2003标准要求，公司测量管理体系正常有序运行，较好地满足了公司生产、销售和持续发展的需要。</w:t>
      </w:r>
    </w:p>
    <w:p>
      <w:pPr>
        <w:widowControl/>
        <w:spacing w:line="276"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2.内部审核和管理评审的情况：</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2.1内审情况：公司于2021年9月10日组织了公司测量管理体系内部审核，内审分2个组，对公司4个部门进行了全要素的审核，共开出了1不符合项，于9月15日完成整改。</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2.2管理评审情况：企业于2021年9月24日开展了测量体系管理评审，会议由公司经理郭萌主持，由管理者代表高嘉欣汇报了体系运行情况。会议肯定了公司测量管理体系的充分性、有效性和适宜性。形成了管理评审报告，对公司测量管理体系目前存在的2个方面的问题落实了整改部门。</w:t>
      </w:r>
    </w:p>
    <w:p>
      <w:pPr>
        <w:spacing w:line="276" w:lineRule="auto"/>
        <w:rPr>
          <w:rStyle w:val="9"/>
          <w:rFonts w:ascii="宋体" w:eastAsia="宋体"/>
          <w:color w:val="0070C0"/>
          <w:sz w:val="21"/>
          <w:szCs w:val="21"/>
        </w:rPr>
      </w:pP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3.为持续改进而策划的活动的进展 ，包括：抽查测量设备溯源情况符合要求，企业对已识别的成型凹模外径尺寸测量</w:t>
      </w:r>
      <w:r>
        <w:rPr>
          <w:rFonts w:hint="eastAsia" w:cs="宋体" w:asciiTheme="minorEastAsia" w:hAnsiTheme="minorEastAsia"/>
          <w:bCs/>
          <w:kern w:val="0"/>
          <w:szCs w:val="21"/>
          <w:lang w:val="en-US" w:eastAsia="zh-CN"/>
        </w:rPr>
        <w:t>过程，进行的计量要求导出结果正确，按测量过程控制规范进行了有效性监视。并对不确定度评定方法进行了描述，记录、监视控制图齐全，完整；未见新增关键测量过程。</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为持续改进而策划的活动的进展企业对识别的关键测量过程进行了持续的控制，无新增关键测量过程：</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a)计量要求的导出和验证：查成型凹模外径尺寸测量过程，计量要求导出方法正确，验证满足测量过程要求。祥见附件《计量要求导出及验证记录表》</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b)测量不确定评定：查成型凹模外径尺寸测量过程，测量不确定度评定正确。祥见附件《测量不确定度评定》</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c)有效性确认：查成型凹模外径尺寸测量过程，采用进水阀座外径计量进行比对进行有效性确认，满足要求。祥见附件《测量过程有效性确认》</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d)测量过程的控制：查成型凹模外径尺寸测量过程，编制了控制规范，对测量人员、测量设备、测量环境进行控制，满足要求。</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e)测量过程的监视：查成型凹模外径尺寸测量过程，采用统计技术进行控制和监视测量过程。祥见《测量过程监视记录》</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f)测量设备的溯源：公司无建立项最高标准，企业测量设备送大庆油田计量检定测试所</w:t>
      </w:r>
      <w:r>
        <w:rPr>
          <w:rFonts w:hint="eastAsia" w:cs="宋体" w:asciiTheme="minorEastAsia" w:hAnsiTheme="minorEastAsia"/>
          <w:bCs/>
          <w:kern w:val="0"/>
          <w:szCs w:val="21"/>
          <w:lang w:val="en-US" w:eastAsia="zh-CN"/>
        </w:rPr>
        <w:t>检定/校准。抽查7台测量设备检定/校准证书，溯源满足要求。祥见《测量设备溯源检查表》</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4.能源管理情况：</w:t>
      </w:r>
      <w:bookmarkStart w:id="11" w:name="_GoBack"/>
      <w:bookmarkEnd w:id="11"/>
    </w:p>
    <w:p>
      <w:pPr>
        <w:snapToGrid w:val="0"/>
        <w:spacing w:line="400" w:lineRule="exact"/>
        <w:ind w:right="-512" w:rightChars="-244" w:firstLine="420" w:firstLineChars="200"/>
        <w:rPr>
          <w:rFonts w:hint="eastAsia" w:ascii="宋体" w:hAnsi="宋体"/>
          <w:szCs w:val="21"/>
        </w:rPr>
      </w:pPr>
      <w:r>
        <w:rPr>
          <w:rFonts w:hint="eastAsia" w:ascii="宋体" w:hAnsi="宋体"/>
          <w:szCs w:val="21"/>
        </w:rPr>
        <w:t>企业20</w:t>
      </w:r>
      <w:r>
        <w:rPr>
          <w:rFonts w:hint="eastAsia" w:ascii="宋体" w:hAnsi="宋体"/>
          <w:szCs w:val="21"/>
          <w:lang w:val="en-US" w:eastAsia="zh-CN"/>
        </w:rPr>
        <w:t>20</w:t>
      </w:r>
      <w:r>
        <w:rPr>
          <w:rFonts w:hint="eastAsia" w:ascii="宋体" w:hAnsi="宋体"/>
          <w:szCs w:val="21"/>
        </w:rPr>
        <w:t>年耗能</w:t>
      </w:r>
      <w:r>
        <w:rPr>
          <w:rFonts w:hint="eastAsia" w:ascii="宋体" w:hAnsi="宋体" w:cs="宋体"/>
          <w:bCs/>
          <w:kern w:val="0"/>
          <w:szCs w:val="21"/>
          <w:highlight w:val="none"/>
          <w:shd w:val="clear" w:color="auto" w:fill="auto"/>
          <w:lang w:val="en-US" w:eastAsia="zh-CN"/>
        </w:rPr>
        <w:t>42.5</w:t>
      </w:r>
      <w:r>
        <w:rPr>
          <w:rFonts w:hint="eastAsia" w:ascii="宋体" w:hAnsi="宋体"/>
          <w:szCs w:val="21"/>
        </w:rPr>
        <w:t>吨标准煤。</w:t>
      </w:r>
      <w:r>
        <w:rPr>
          <w:rFonts w:hint="eastAsia" w:ascii="宋体" w:hAnsi="宋体"/>
          <w:szCs w:val="21"/>
          <w:lang w:eastAsia="zh-CN"/>
        </w:rPr>
        <w:t>不是</w:t>
      </w:r>
      <w:r>
        <w:rPr>
          <w:rFonts w:hint="eastAsia" w:ascii="宋体" w:hAnsi="宋体"/>
          <w:szCs w:val="21"/>
        </w:rPr>
        <w:t>重点耗能单位，</w:t>
      </w:r>
      <w:r>
        <w:rPr>
          <w:rFonts w:hint="eastAsia" w:ascii="宋体" w:hAnsi="宋体"/>
          <w:szCs w:val="21"/>
          <w:lang w:val="en-US" w:eastAsia="zh-CN"/>
        </w:rPr>
        <w:t>企业</w:t>
      </w:r>
      <w:r>
        <w:rPr>
          <w:rFonts w:hint="eastAsia" w:ascii="宋体" w:hAnsi="宋体"/>
          <w:szCs w:val="21"/>
        </w:rPr>
        <w:t>的能源计量器具准确度等级：</w:t>
      </w:r>
      <w:r>
        <w:rPr>
          <w:rFonts w:hint="eastAsia" w:ascii="宋体" w:hAnsi="宋体"/>
          <w:szCs w:val="21"/>
          <w:lang w:val="en-US" w:eastAsia="zh-CN"/>
        </w:rPr>
        <w:t>2.0</w:t>
      </w:r>
      <w:r>
        <w:rPr>
          <w:rFonts w:hint="eastAsia" w:ascii="宋体" w:hAnsi="宋体"/>
          <w:szCs w:val="21"/>
        </w:rPr>
        <w:t>级的三相</w:t>
      </w:r>
      <w:r>
        <w:rPr>
          <w:rFonts w:hint="eastAsia" w:ascii="宋体" w:hAnsi="宋体"/>
          <w:szCs w:val="21"/>
          <w:lang w:val="en-US" w:eastAsia="zh-CN"/>
        </w:rPr>
        <w:t>三</w:t>
      </w:r>
      <w:r>
        <w:rPr>
          <w:rFonts w:hint="eastAsia" w:ascii="宋体" w:hAnsi="宋体"/>
          <w:szCs w:val="21"/>
        </w:rPr>
        <w:t>线</w:t>
      </w:r>
      <w:r>
        <w:rPr>
          <w:rFonts w:hint="eastAsia" w:ascii="宋体" w:hAnsi="宋体"/>
          <w:szCs w:val="21"/>
          <w:lang w:val="en-US" w:eastAsia="zh-CN"/>
        </w:rPr>
        <w:t>电子式</w:t>
      </w:r>
      <w:r>
        <w:rPr>
          <w:rFonts w:hint="eastAsia" w:ascii="宋体" w:hAnsi="宋体"/>
          <w:szCs w:val="21"/>
        </w:rPr>
        <w:t>电能表</w:t>
      </w:r>
      <w:r>
        <w:rPr>
          <w:rFonts w:hint="eastAsia" w:ascii="宋体" w:hAnsi="宋体"/>
          <w:szCs w:val="21"/>
          <w:lang w:val="en-US" w:eastAsia="zh-CN"/>
        </w:rPr>
        <w:t>1块</w:t>
      </w:r>
      <w:r>
        <w:rPr>
          <w:rFonts w:hint="eastAsia" w:ascii="宋体" w:hAnsi="宋体"/>
          <w:szCs w:val="21"/>
        </w:rPr>
        <w:t>和</w:t>
      </w:r>
      <w:r>
        <w:rPr>
          <w:rFonts w:hint="eastAsia" w:ascii="宋体" w:hAnsi="宋体"/>
          <w:szCs w:val="21"/>
          <w:lang w:val="en-US" w:eastAsia="zh-CN"/>
        </w:rPr>
        <w:t>2.5</w:t>
      </w:r>
      <w:r>
        <w:rPr>
          <w:rFonts w:hint="eastAsia" w:ascii="宋体" w:hAnsi="宋体"/>
          <w:szCs w:val="21"/>
        </w:rPr>
        <w:t>级的水表，满足GB17167标准4.3.8表4的要求企业能源计量器具共有2台，已编入了测量设备管理目录，能源计量器具配备率符合GB17167－2006的要求。能源数据每月抄表，能源报表数据可追溯到现场测试记录，满足要求。</w:t>
      </w:r>
    </w:p>
    <w:p>
      <w:pPr>
        <w:snapToGrid w:val="0"/>
        <w:spacing w:line="400" w:lineRule="exact"/>
        <w:ind w:right="-512" w:rightChars="-244" w:firstLine="420" w:firstLineChars="200"/>
        <w:rPr>
          <w:rFonts w:hint="eastAsia" w:ascii="宋体" w:hAnsi="宋体"/>
          <w:szCs w:val="21"/>
        </w:rPr>
      </w:pPr>
    </w:p>
    <w:p>
      <w:pPr>
        <w:snapToGrid w:val="0"/>
        <w:spacing w:line="400" w:lineRule="exact"/>
        <w:ind w:right="-512" w:rightChars="-244" w:firstLine="420" w:firstLineChars="200"/>
        <w:rPr>
          <w:rFonts w:hint="eastAsia" w:ascii="宋体" w:hAnsi="宋体"/>
          <w:szCs w:val="21"/>
        </w:rPr>
      </w:pPr>
      <w:r>
        <w:rPr>
          <w:rFonts w:hint="eastAsia" w:ascii="宋体" w:hAnsi="宋体"/>
          <w:szCs w:val="21"/>
        </w:rPr>
        <w:t>5.对认证审核时提出的的不符合项的纠正措施情况有表述： </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年外审开出了一项不符合项报告：</w:t>
      </w:r>
      <w:r>
        <w:rPr>
          <w:rFonts w:hint="eastAsia" w:ascii="宋体" w:hAnsi="宋体"/>
          <w:szCs w:val="21"/>
          <w:lang w:eastAsia="zh-CN"/>
        </w:rPr>
        <w:t>查</w:t>
      </w:r>
      <w:r>
        <w:rPr>
          <w:rFonts w:hint="eastAsia" w:ascii="宋体" w:hAnsi="宋体"/>
          <w:szCs w:val="21"/>
          <w:lang w:val="en-US" w:eastAsia="zh-CN"/>
        </w:rPr>
        <w:t>生产车间在用的</w:t>
      </w:r>
      <w:r>
        <w:rPr>
          <w:rFonts w:hint="eastAsia" w:ascii="宋体" w:hAnsi="宋体"/>
          <w:szCs w:val="21"/>
          <w:lang w:eastAsia="zh-CN"/>
        </w:rPr>
        <w:t>出厂编号</w:t>
      </w:r>
      <w:r>
        <w:rPr>
          <w:rFonts w:hint="eastAsia" w:ascii="宋体" w:hAnsi="宋体"/>
          <w:szCs w:val="21"/>
          <w:lang w:val="en-US" w:eastAsia="zh-CN"/>
        </w:rPr>
        <w:t>为4129的</w:t>
      </w:r>
      <w:r>
        <w:rPr>
          <w:rFonts w:hint="eastAsia" w:ascii="宋体" w:hAnsi="宋体"/>
          <w:szCs w:val="21"/>
          <w:lang w:eastAsia="zh-CN"/>
        </w:rPr>
        <w:t>游标</w:t>
      </w:r>
      <w:r>
        <w:rPr>
          <w:rFonts w:hint="eastAsia" w:ascii="宋体" w:hAnsi="宋体" w:cs="宋体"/>
          <w:b/>
          <w:bCs/>
          <w:color w:val="000000"/>
          <w:kern w:val="0"/>
          <w:szCs w:val="21"/>
          <w:lang w:eastAsia="zh-CN"/>
        </w:rPr>
        <w:t>卡尺</w:t>
      </w:r>
      <w:r>
        <w:rPr>
          <w:rFonts w:hint="eastAsia" w:ascii="宋体" w:hAnsi="宋体"/>
          <w:szCs w:val="21"/>
          <w:lang w:val="en-US" w:eastAsia="zh-CN"/>
        </w:rPr>
        <w:t>没有纳入测量设备台账中</w:t>
      </w:r>
      <w:r>
        <w:rPr>
          <w:rFonts w:hint="eastAsia" w:ascii="宋体" w:hAnsi="宋体"/>
          <w:szCs w:val="21"/>
          <w:lang w:eastAsia="zh-CN"/>
        </w:rPr>
        <w:t>管理。</w:t>
      </w:r>
      <w:r>
        <w:rPr>
          <w:rFonts w:hint="eastAsia" w:ascii="宋体" w:hAnsi="宋体"/>
          <w:szCs w:val="21"/>
        </w:rPr>
        <w:t>企业对不符合采取了纠正措施</w:t>
      </w:r>
      <w:r>
        <w:rPr>
          <w:rFonts w:hint="eastAsia" w:ascii="宋体" w:hAnsi="宋体"/>
          <w:szCs w:val="21"/>
          <w:lang w:val="en-US" w:eastAsia="zh-CN"/>
        </w:rPr>
        <w:t>，对</w:t>
      </w:r>
      <w:r>
        <w:rPr>
          <w:rFonts w:hint="eastAsia" w:ascii="宋体" w:hAnsi="宋体"/>
          <w:szCs w:val="21"/>
        </w:rPr>
        <w:t>顾</w:t>
      </w:r>
      <w:r>
        <w:rPr>
          <w:rFonts w:hint="eastAsia" w:ascii="宋体" w:hAnsi="宋体"/>
          <w:szCs w:val="21"/>
          <w:lang w:val="en-US" w:eastAsia="zh-CN"/>
        </w:rPr>
        <w:t>客满意度再</w:t>
      </w:r>
      <w:r>
        <w:rPr>
          <w:rFonts w:hint="eastAsia" w:ascii="宋体" w:hAnsi="宋体"/>
          <w:szCs w:val="21"/>
          <w:lang w:eastAsia="zh-CN"/>
        </w:rPr>
        <w:t>次</w:t>
      </w:r>
      <w:r>
        <w:rPr>
          <w:rFonts w:hint="eastAsia" w:ascii="宋体" w:hAnsi="宋体"/>
          <w:szCs w:val="21"/>
          <w:lang w:val="en-US" w:eastAsia="zh-CN"/>
        </w:rPr>
        <w:t>进行了回访，并举一反三对公司相关内容进行检查，发现问题一并改正，</w:t>
      </w:r>
      <w:r>
        <w:rPr>
          <w:rFonts w:hint="eastAsia" w:ascii="宋体" w:hAnsi="宋体"/>
          <w:szCs w:val="21"/>
        </w:rPr>
        <w:t>避免相同问题重复发生。经审核组本次现场审核，通过对纠正措施工作的实施、完成情况跟踪及有效性进行现场查验，确认公司</w:t>
      </w:r>
      <w:r>
        <w:rPr>
          <w:rFonts w:hint="eastAsia" w:ascii="宋体" w:hAnsi="宋体"/>
          <w:szCs w:val="21"/>
          <w:lang w:val="en-US" w:eastAsia="zh-CN"/>
        </w:rPr>
        <w:t>上次</w:t>
      </w:r>
      <w:r>
        <w:rPr>
          <w:rFonts w:hint="eastAsia" w:ascii="宋体" w:hAnsi="宋体"/>
          <w:szCs w:val="21"/>
        </w:rPr>
        <w:t>审核中确定的</w:t>
      </w:r>
      <w:r>
        <w:rPr>
          <w:rFonts w:hint="eastAsia" w:ascii="宋体" w:hAnsi="宋体"/>
          <w:szCs w:val="21"/>
          <w:lang w:val="en-US" w:eastAsia="zh-CN"/>
        </w:rPr>
        <w:t>1</w:t>
      </w:r>
      <w:r>
        <w:rPr>
          <w:rFonts w:hint="eastAsia" w:ascii="宋体" w:hAnsi="宋体"/>
          <w:szCs w:val="21"/>
        </w:rPr>
        <w:t>个不符合项所采取的纠正措施正确，完成情况良好并持续有效</w:t>
      </w:r>
      <w:r>
        <w:rPr>
          <w:rFonts w:hint="eastAsia" w:ascii="宋体" w:hAnsi="宋体"/>
          <w:szCs w:val="21"/>
          <w:lang w:val="en-US" w:eastAsia="zh-CN"/>
        </w:rPr>
        <w:t>。</w:t>
      </w:r>
      <w:r>
        <w:rPr>
          <w:rFonts w:hint="eastAsia" w:ascii="宋体" w:hAnsi="宋体"/>
          <w:szCs w:val="21"/>
        </w:rPr>
        <w:t>验证该不符合项纠正措施有效，同意关闭。</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对投诉的处理情况：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企业2020年</w:t>
      </w:r>
      <w:r>
        <w:rPr>
          <w:rFonts w:hint="eastAsia" w:ascii="宋体" w:hAnsi="宋体"/>
          <w:szCs w:val="21"/>
          <w:lang w:eastAsia="zh-CN"/>
        </w:rPr>
        <w:t>没</w:t>
      </w:r>
      <w:r>
        <w:rPr>
          <w:rFonts w:hint="eastAsia" w:ascii="宋体" w:hAnsi="宋体"/>
          <w:szCs w:val="21"/>
        </w:rPr>
        <w:t>有顾客的投诉。企业未有违反法律、法规问题和产品质量问题的投诉或重大质量事故发生。</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测量管理体系在实现获证客户目标方面的有效性及持续的运作控制情况：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公司制定了</w:t>
      </w:r>
      <w:r>
        <w:rPr>
          <w:rFonts w:hint="eastAsia" w:ascii="宋体" w:hAnsi="宋体"/>
          <w:szCs w:val="21"/>
          <w:lang w:val="en-US" w:eastAsia="zh-CN"/>
        </w:rPr>
        <w:t>5</w:t>
      </w:r>
      <w:r>
        <w:rPr>
          <w:rFonts w:hint="eastAsia" w:ascii="宋体" w:hAnsi="宋体"/>
          <w:szCs w:val="21"/>
        </w:rPr>
        <w:t>项质量目标，对目标进行了分解，查20</w:t>
      </w:r>
      <w:r>
        <w:rPr>
          <w:rFonts w:hint="eastAsia" w:ascii="宋体" w:hAnsi="宋体"/>
          <w:szCs w:val="21"/>
          <w:lang w:val="en-US" w:eastAsia="zh-CN"/>
        </w:rPr>
        <w:t>20</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月到</w:t>
      </w:r>
      <w:r>
        <w:rPr>
          <w:rFonts w:hint="eastAsia" w:ascii="宋体" w:hAnsi="宋体"/>
          <w:szCs w:val="21"/>
          <w:lang w:val="en-US" w:eastAsia="zh-CN"/>
        </w:rPr>
        <w:t>25</w:t>
      </w:r>
      <w:r>
        <w:rPr>
          <w:rFonts w:hint="eastAsia" w:ascii="宋体" w:hAnsi="宋体"/>
          <w:szCs w:val="21"/>
        </w:rPr>
        <w:t>月质量目标完成情况检查表，按目标、措施、完成情况、未完成情况进行统计，记录内容全，质量目标管理满足要求。</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对企业组织任何变更的审核</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企业的组织机构及资质的无变更。</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标志的使用和（或）任何其他对认证资格引用的情况：</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rPr>
        <w:t xml:space="preserve"> 用</w:t>
      </w:r>
      <w:r>
        <w:rPr>
          <w:rFonts w:hint="eastAsia" w:ascii="宋体" w:hAnsi="宋体"/>
          <w:szCs w:val="21"/>
          <w:lang w:val="en-US" w:eastAsia="zh-CN"/>
        </w:rPr>
        <w:t>于企业的形象宣传。</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本次审核共出具一般不符合项 1项，未发现严重或系统性的不符合情况。</w:t>
      </w:r>
    </w:p>
    <w:p>
      <w:pPr>
        <w:snapToGrid w:val="0"/>
        <w:spacing w:line="400" w:lineRule="exact"/>
        <w:ind w:right="-512" w:rightChars="-244" w:firstLine="420" w:firstLineChars="200"/>
        <w:rPr>
          <w:rFonts w:hint="default" w:ascii="宋体" w:hAnsi="宋体"/>
          <w:szCs w:val="21"/>
          <w:lang w:val="en-US" w:eastAsia="zh-CN"/>
        </w:rPr>
      </w:pPr>
      <w:r>
        <w:rPr>
          <w:rFonts w:hint="eastAsia" w:ascii="宋体" w:hAnsi="宋体"/>
          <w:szCs w:val="21"/>
          <w:lang w:val="en-US" w:eastAsia="zh-CN"/>
        </w:rPr>
        <w:t>查</w:t>
      </w:r>
      <w:r>
        <w:rPr>
          <w:rFonts w:hint="eastAsia" w:ascii="宋体" w:hAnsi="宋体"/>
          <w:szCs w:val="21"/>
          <w:lang w:val="zh-CN" w:eastAsia="zh-CN"/>
        </w:rPr>
        <w:t>生产技术部在用的编号为</w:t>
      </w:r>
      <w:r>
        <w:rPr>
          <w:rFonts w:hint="eastAsia" w:ascii="宋体" w:hAnsi="宋体"/>
          <w:szCs w:val="21"/>
          <w:lang w:val="en-US" w:eastAsia="zh-CN"/>
        </w:rPr>
        <w:t>E26637,</w:t>
      </w:r>
      <w:r>
        <w:rPr>
          <w:rFonts w:hint="eastAsia" w:ascii="宋体" w:hAnsi="宋体"/>
          <w:szCs w:val="21"/>
          <w:lang w:val="zh-CN" w:eastAsia="zh-CN"/>
        </w:rPr>
        <w:t>(0-150)mm带表游标卡尺校准日期20</w:t>
      </w:r>
      <w:r>
        <w:rPr>
          <w:rFonts w:hint="eastAsia" w:ascii="宋体" w:hAnsi="宋体"/>
          <w:szCs w:val="21"/>
          <w:lang w:val="en-US" w:eastAsia="zh-CN"/>
        </w:rPr>
        <w:t>20</w:t>
      </w:r>
      <w:r>
        <w:rPr>
          <w:rFonts w:hint="eastAsia" w:ascii="宋体" w:hAnsi="宋体"/>
          <w:szCs w:val="21"/>
          <w:lang w:val="zh-CN" w:eastAsia="zh-CN"/>
        </w:rPr>
        <w:t>.</w:t>
      </w:r>
      <w:r>
        <w:rPr>
          <w:rFonts w:hint="eastAsia" w:ascii="宋体" w:hAnsi="宋体"/>
          <w:szCs w:val="21"/>
          <w:lang w:val="en-US" w:eastAsia="zh-CN"/>
        </w:rPr>
        <w:t>10</w:t>
      </w:r>
      <w:r>
        <w:rPr>
          <w:rFonts w:hint="eastAsia" w:ascii="宋体" w:hAnsi="宋体"/>
          <w:szCs w:val="21"/>
          <w:lang w:val="zh-CN" w:eastAsia="zh-CN"/>
        </w:rPr>
        <w:t>.</w:t>
      </w:r>
      <w:r>
        <w:rPr>
          <w:rFonts w:hint="eastAsia" w:ascii="宋体" w:hAnsi="宋体"/>
          <w:szCs w:val="21"/>
          <w:lang w:val="en-US" w:eastAsia="zh-CN"/>
        </w:rPr>
        <w:t>19。未</w:t>
      </w:r>
      <w:r>
        <w:rPr>
          <w:rFonts w:hint="eastAsia" w:ascii="宋体" w:hAnsi="宋体"/>
          <w:szCs w:val="21"/>
          <w:lang w:val="zh-CN" w:eastAsia="zh-CN"/>
        </w:rPr>
        <w:t>粘贴计量确认标识</w:t>
      </w:r>
      <w:r>
        <w:rPr>
          <w:rFonts w:hint="eastAsia" w:ascii="宋体" w:hAnsi="宋体"/>
          <w:szCs w:val="21"/>
          <w:lang w:val="en-US" w:eastAsia="zh-CN"/>
        </w:rPr>
        <w:t>。不符合GB/T19022-2003标准6.2.4条款“---应清楚地标识测量管理体系中所有的测量设备和技术程序，可以单独或集中地标识。应有设备计量确认状态的标识。”的规定要求。属于次要不符合项</w:t>
      </w:r>
      <w:r>
        <w:rPr>
          <w:rFonts w:hint="eastAsia" w:ascii="宋体" w:hAnsi="宋体"/>
          <w:szCs w:val="21"/>
          <w:lang w:val="en-US" w:eastAsia="zh-CN"/>
        </w:rPr>
        <w:t>。</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针对上述1项次要不符合项，企业制定了整改措施并已落实，审核组验证有效。</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三、监督审核结论意见(含需要说明的事项):</w:t>
      </w:r>
    </w:p>
    <w:p>
      <w:pPr>
        <w:snapToGrid w:val="0"/>
        <w:spacing w:line="400" w:lineRule="exact"/>
        <w:ind w:right="-512" w:rightChars="-244" w:firstLine="420" w:firstLineChars="200"/>
        <w:rPr>
          <w:rFonts w:ascii="宋体" w:hAnsi="宋体"/>
          <w:szCs w:val="21"/>
        </w:rPr>
      </w:pPr>
      <w:r>
        <w:rPr>
          <w:rFonts w:hint="eastAsia" w:ascii="宋体" w:hAnsi="宋体"/>
          <w:szCs w:val="21"/>
        </w:rPr>
        <w:t>通过20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日，对</w:t>
      </w:r>
      <w:r>
        <w:rPr>
          <w:rFonts w:hint="eastAsia" w:ascii="宋体" w:hAnsi="宋体"/>
          <w:szCs w:val="21"/>
          <w:lang w:val="en-US" w:eastAsia="zh-CN"/>
        </w:rPr>
        <w:t>大庆萱威机械制造有限公司</w:t>
      </w:r>
      <w:r>
        <w:rPr>
          <w:rFonts w:hint="eastAsia" w:ascii="宋体" w:hAnsi="宋体"/>
          <w:szCs w:val="21"/>
        </w:rPr>
        <w:t>监督审核.验证了公司在去年一年内，测量管理体系运作情况，公司领导重视体系运行和管理，体系文件得到有效实施，企业管理规范，</w:t>
      </w:r>
      <w:r>
        <w:rPr>
          <w:rFonts w:hint="eastAsia" w:ascii="宋体" w:hAnsi="宋体"/>
          <w:szCs w:val="21"/>
          <w:lang w:eastAsia="zh-CN"/>
        </w:rPr>
        <w:t>未</w:t>
      </w:r>
      <w:r>
        <w:rPr>
          <w:rFonts w:hint="eastAsia" w:ascii="宋体" w:hAnsi="宋体"/>
          <w:szCs w:val="21"/>
        </w:rPr>
        <w:t>新增关键测量过程，过程受控、监视方法正确有效，重要测量人员能力受控，测量设备、测量环境、测量软件、测量记录及外部供方管理等各项工作。综上所述，审核组认为</w:t>
      </w:r>
      <w:r>
        <w:rPr>
          <w:rFonts w:hint="eastAsia" w:ascii="宋体" w:hAnsi="宋体"/>
          <w:szCs w:val="21"/>
          <w:lang w:val="en-US" w:eastAsia="zh-CN"/>
        </w:rPr>
        <w:t>大庆萱威机械制造有限公司</w:t>
      </w:r>
      <w:r>
        <w:rPr>
          <w:rFonts w:hint="eastAsia" w:ascii="宋体" w:hAnsi="宋体"/>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drawing>
          <wp:anchor distT="0" distB="0" distL="114300" distR="114300" simplePos="0" relativeHeight="251661312" behindDoc="0" locked="0" layoutInCell="1" allowOverlap="1">
            <wp:simplePos x="0" y="0"/>
            <wp:positionH relativeFrom="column">
              <wp:posOffset>1520825</wp:posOffset>
            </wp:positionH>
            <wp:positionV relativeFrom="paragraph">
              <wp:posOffset>13335</wp:posOffset>
            </wp:positionV>
            <wp:extent cx="697230" cy="402590"/>
            <wp:effectExtent l="0" t="0" r="7620" b="16510"/>
            <wp:wrapSquare wrapText="bothSides"/>
            <wp:docPr id="1"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2"/>
                    <pic:cNvPicPr>
                      <a:picLocks noChangeAspect="1"/>
                    </pic:cNvPicPr>
                  </pic:nvPicPr>
                  <pic:blipFill>
                    <a:blip r:embed="rId6"/>
                    <a:stretch>
                      <a:fillRect/>
                    </a:stretch>
                  </pic:blipFill>
                  <pic:spPr>
                    <a:xfrm>
                      <a:off x="0" y="0"/>
                      <a:ext cx="697230" cy="402590"/>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2021.10.26</w:t>
      </w:r>
    </w:p>
    <w:p>
      <w:pPr>
        <w:widowControl/>
        <w:spacing w:line="360" w:lineRule="auto"/>
        <w:jc w:val="left"/>
        <w:rPr>
          <w:rFonts w:ascii="宋体" w:hAnsi="宋体" w:eastAsia="宋体" w:cs="宋体"/>
          <w:kern w:val="0"/>
          <w:szCs w:val="21"/>
        </w:rPr>
      </w:pPr>
      <w:r>
        <w:drawing>
          <wp:anchor distT="0" distB="0" distL="114300" distR="114300" simplePos="0" relativeHeight="251662336" behindDoc="0" locked="0" layoutInCell="1" allowOverlap="1">
            <wp:simplePos x="0" y="0"/>
            <wp:positionH relativeFrom="column">
              <wp:posOffset>1494155</wp:posOffset>
            </wp:positionH>
            <wp:positionV relativeFrom="paragraph">
              <wp:posOffset>250190</wp:posOffset>
            </wp:positionV>
            <wp:extent cx="697230" cy="402590"/>
            <wp:effectExtent l="0" t="0" r="7620" b="16510"/>
            <wp:wrapSquare wrapText="bothSides"/>
            <wp:docPr id="4"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未标题-2"/>
                    <pic:cNvPicPr>
                      <a:picLocks noChangeAspect="1"/>
                    </pic:cNvPicPr>
                  </pic:nvPicPr>
                  <pic:blipFill>
                    <a:blip r:embed="rId6"/>
                    <a:stretch>
                      <a:fillRect/>
                    </a:stretch>
                  </pic:blipFill>
                  <pic:spPr>
                    <a:xfrm>
                      <a:off x="0" y="0"/>
                      <a:ext cx="697230" cy="402590"/>
                    </a:xfrm>
                    <a:prstGeom prst="rect">
                      <a:avLst/>
                    </a:prstGeom>
                    <a:noFill/>
                    <a:ln>
                      <a:noFill/>
                    </a:ln>
                  </pic:spPr>
                </pic:pic>
              </a:graphicData>
            </a:graphic>
          </wp:anchor>
        </w:drawing>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2021.10.26</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default" w:ascii="宋体" w:hAnsi="宋体" w:cs="宋体"/>
          <w:kern w:val="0"/>
          <w:szCs w:val="21"/>
          <w:lang w:val="en-US"/>
        </w:rPr>
      </w:pPr>
      <w:r>
        <w:rPr>
          <w:rFonts w:hint="eastAsia" w:ascii="宋体" w:hAnsi="宋体" w:cs="宋体"/>
          <w:kern w:val="0"/>
          <w:szCs w:val="21"/>
        </w:rPr>
        <w:t>北京国标联合认证有限公司(盖章)                       日 期：</w:t>
      </w:r>
      <w:r>
        <w:rPr>
          <w:rFonts w:hint="eastAsia" w:ascii="宋体" w:hAnsi="宋体" w:eastAsia="宋体" w:cs="宋体"/>
          <w:kern w:val="0"/>
          <w:szCs w:val="21"/>
          <w:lang w:val="en-US" w:eastAsia="zh-CN"/>
        </w:rPr>
        <w:t>2021.10.26</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AB3B48"/>
    <w:rsid w:val="3A640CE7"/>
    <w:rsid w:val="569110DD"/>
    <w:rsid w:val="60313E80"/>
    <w:rsid w:val="62596020"/>
    <w:rsid w:val="637B0086"/>
    <w:rsid w:val="6A5B66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3</TotalTime>
  <ScaleCrop>false</ScaleCrop>
  <LinksUpToDate>false</LinksUpToDate>
  <CharactersWithSpaces>2163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崔敬伟</cp:lastModifiedBy>
  <cp:lastPrinted>2017-09-01T06:24:00Z</cp:lastPrinted>
  <dcterms:modified xsi:type="dcterms:W3CDTF">2021-10-26T05:13:26Z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70C5D8F9A955424D9BF3C981B107ED77</vt:lpwstr>
  </property>
</Properties>
</file>