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四川欧宝路管业有限责任公司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管材流程：配料——混料——熔融——挤塑——成型——切割——入库——交付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</w:rPr>
              <w:t>管件流程：配料——混料——熔融——注塑——成型——修整——入库——交付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特殊过程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挤塑、注塑</w:t>
            </w:r>
          </w:p>
          <w:p>
            <w:pPr>
              <w:pStyle w:val="2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控制措施：根据作业指导书、管理手册及特殊过程确认进行控制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重要环境因素：</w:t>
            </w:r>
            <w:r>
              <w:rPr>
                <w:rFonts w:hint="eastAsia" w:ascii="宋体" w:hAnsi="宋体" w:cs="宋体"/>
                <w:szCs w:val="21"/>
              </w:rPr>
              <w:t>1）潜在火灾；2）固废的排放；3）噪声排放；4）粉尘排放；5）废水排放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控制措施：a、按运行程序控制 b、按目标指标管理方案控制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不可接受风险：1）火灾、易燃易爆）；2）触电；3）职业病（粉尘、噪声、化学品挥发）；4）意外伤害（物体打击、机械伤害、灼烫等）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控制措施：a、按运行程序控制 b、按目标指标管理方案控制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《中华人民共和国产品质量法》《中华人民共和国合同法》《中华人民共和国标准化法》《中华人民共和国环境保护法》《中华人民共和国安全生产法》《中华人民共和国职业病防治法》GB/T13663.2-2018《给水用聚乙烯（PE）管材》、GB/T13663.3-202018、GB/T18742.2-2017、GB/T18742.3-2017、GB/T5836.1-2018建筑排水用聚氯乙烯（PVC-U）管材、GB/T5836.2-2018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PVC管材：外观质量、尺寸、纵向回缩率%、静液压强度、标志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PVC管件：外观质量、尺寸、纵向回缩率%、静液压强度、标志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lang w:val="en-US" w:eastAsia="zh-CN"/>
              </w:rPr>
              <w:t>HDPE管材：外观质量、尺寸、纵向回缩率%、静液压强度、标志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140335</wp:posOffset>
                  </wp:positionV>
                  <wp:extent cx="757555" cy="334645"/>
                  <wp:effectExtent l="0" t="0" r="4445" b="8255"/>
                  <wp:wrapNone/>
                  <wp:docPr id="1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3397" b="5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184785</wp:posOffset>
                  </wp:positionV>
                  <wp:extent cx="757555" cy="334645"/>
                  <wp:effectExtent l="0" t="0" r="4445" b="825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3397" b="5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2021.10.26</w:t>
            </w:r>
            <w:bookmarkStart w:id="9" w:name="_GoBack"/>
            <w:bookmarkEnd w:id="9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A192B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2021-10-26T01:04:30Z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