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178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</w:rPr>
        <w:t>21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bidi w:val="0"/>
              <w:spacing w:line="360" w:lineRule="auto"/>
              <w:rPr>
                <w:rFonts w:hint="eastAsia" w:ascii="宋体" w:hAnsi="宋体"/>
                <w:szCs w:val="21"/>
              </w:rPr>
            </w:pPr>
            <w:bookmarkStart w:id="1" w:name="组织名称"/>
            <w:r>
              <w:rPr>
                <w:rFonts w:hint="eastAsia"/>
                <w:sz w:val="24"/>
                <w:szCs w:val="24"/>
              </w:rPr>
              <w:t>南京地铁运营有限责任公司</w:t>
            </w:r>
            <w:bookmarkEnd w:id="1"/>
          </w:p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电子信息技术研究院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多用能校准源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V01536G14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5233035</wp:posOffset>
                  </wp:positionH>
                  <wp:positionV relativeFrom="paragraph">
                    <wp:posOffset>8907780</wp:posOffset>
                  </wp:positionV>
                  <wp:extent cx="469900" cy="419735"/>
                  <wp:effectExtent l="0" t="0" r="6350" b="8890"/>
                  <wp:wrapNone/>
                  <wp:docPr id="9" name="图片 7" descr="8906da6981106a89dc02a536d5ce0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 descr="8906da6981106a89dc02a536d5ce0e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1000A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DCV:±0.002%；DCI:±0.002%;R:±0.01%;ACV:±0.008%;ACI:±0.03%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DCV:±0.00027%；DCI:±0.00065%;R:±0.0007%;ACV:±0.006%;ACI:±0.025%</w:t>
            </w:r>
          </w:p>
        </w:tc>
        <w:tc>
          <w:tcPr>
            <w:tcW w:w="156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江苏省计量科学研究所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车辆分公司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扭力扳手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B065372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75~400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N.m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广州广电计量检测股份有限公司</w:t>
            </w:r>
            <w:bookmarkEnd w:id="2"/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车辆分公司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耐震压力表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4130449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0~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4.0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车辆分公司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G466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75~100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U＝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μ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（K＝2）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年07月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工务分公司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铁路轨距尺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004371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TGC-WJ-I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电子信息技术研究院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工务分公司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激光测距仪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1074760358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/>
              </w:rPr>
              <w:t>DISTOA5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U=4μm+3×10-6L(k=2),基线场：UD≤0.4mm+1 ×10-6D(k=2)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南京市计量监督检测院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2021年0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供电分公司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数字钳形表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MBGBC17142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MS2115A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电子信息技术研究院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供电分公司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数字绝缘电阻表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121296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YTC2672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U＝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1.0GΩ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（K＝2）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MPE:±（0.2~5）%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广州广电计量检测股份有限公司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年04月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企</w:t>
            </w:r>
            <w:r>
              <w:rPr>
                <w:rFonts w:hint="eastAsia" w:ascii="宋体"/>
                <w:szCs w:val="21"/>
                <w:lang w:eastAsia="zh-CN"/>
              </w:rPr>
              <w:t>业已</w:t>
            </w:r>
            <w:r>
              <w:rPr>
                <w:rFonts w:hint="eastAsia" w:ascii="宋体"/>
                <w:szCs w:val="21"/>
              </w:rPr>
              <w:t>建</w:t>
            </w:r>
            <w:r>
              <w:rPr>
                <w:rFonts w:hint="eastAsia" w:ascii="宋体"/>
                <w:szCs w:val="21"/>
                <w:lang w:val="en-US" w:eastAsia="zh-CN"/>
              </w:rPr>
              <w:t>10项</w:t>
            </w:r>
            <w:r>
              <w:rPr>
                <w:rFonts w:hint="eastAsia" w:ascii="宋体"/>
                <w:szCs w:val="21"/>
              </w:rPr>
              <w:t>计量标准，</w:t>
            </w:r>
            <w:r>
              <w:rPr>
                <w:rFonts w:hint="eastAsia" w:ascii="宋体"/>
                <w:szCs w:val="21"/>
                <w:lang w:eastAsia="zh-CN"/>
              </w:rPr>
              <w:t>开展相关专业计量检定工作，其它测量设备均</w:t>
            </w:r>
            <w:r>
              <w:rPr>
                <w:rFonts w:hint="eastAsia" w:ascii="宋体"/>
                <w:szCs w:val="21"/>
              </w:rPr>
              <w:t>能溯源到法定计量检定机构</w:t>
            </w:r>
            <w:r>
              <w:rPr>
                <w:rFonts w:hint="eastAsia" w:ascii="宋体"/>
                <w:szCs w:val="21"/>
                <w:lang w:eastAsia="zh-CN"/>
              </w:rPr>
              <w:t>或</w:t>
            </w:r>
            <w:r>
              <w:rPr>
                <w:rFonts w:hint="eastAsia" w:ascii="宋体"/>
                <w:szCs w:val="21"/>
              </w:rPr>
              <w:t>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>8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校准证书，溯源符合要求。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3938905</wp:posOffset>
                  </wp:positionH>
                  <wp:positionV relativeFrom="paragraph">
                    <wp:posOffset>163195</wp:posOffset>
                  </wp:positionV>
                  <wp:extent cx="671830" cy="599440"/>
                  <wp:effectExtent l="0" t="0" r="4445" b="635"/>
                  <wp:wrapNone/>
                  <wp:docPr id="4" name="图片 4" descr="e33a4c105a36e6ec992cce91d0679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33a4c105a36e6ec992cce91d06794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830" cy="599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230505</wp:posOffset>
                  </wp:positionV>
                  <wp:extent cx="614680" cy="385445"/>
                  <wp:effectExtent l="0" t="0" r="0" b="0"/>
                  <wp:wrapNone/>
                  <wp:docPr id="5" name="图片 3" descr="我电子签名92764bb375c44007ba1788b07a13b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我电子签名92764bb375c44007ba1788b07a13b8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80" cy="38544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9.75pt;margin-top:6pt;height:20.6pt;width:215.85pt;z-index:251660288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26.05pt;z-index:251660288;mso-width-relative:page;mso-height-relative:page;" filled="f" stroked="t" coordsize="21600,21600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5755834"/>
    <w:rsid w:val="0D091A8B"/>
    <w:rsid w:val="11661E8D"/>
    <w:rsid w:val="13E00C6E"/>
    <w:rsid w:val="14BC4A25"/>
    <w:rsid w:val="1D58118F"/>
    <w:rsid w:val="1F871E5C"/>
    <w:rsid w:val="210272A9"/>
    <w:rsid w:val="21C405FE"/>
    <w:rsid w:val="233A574D"/>
    <w:rsid w:val="249C7E16"/>
    <w:rsid w:val="27536546"/>
    <w:rsid w:val="27F10092"/>
    <w:rsid w:val="31441FCA"/>
    <w:rsid w:val="3EEE4C0E"/>
    <w:rsid w:val="4206500A"/>
    <w:rsid w:val="4CD643AC"/>
    <w:rsid w:val="54954B72"/>
    <w:rsid w:val="64414658"/>
    <w:rsid w:val="68704329"/>
    <w:rsid w:val="6AC74437"/>
    <w:rsid w:val="6DE41069"/>
    <w:rsid w:val="6FBF39C1"/>
    <w:rsid w:val="72AD2696"/>
    <w:rsid w:val="74B30D39"/>
    <w:rsid w:val="77377A91"/>
    <w:rsid w:val="796E56E1"/>
    <w:rsid w:val="7B18314A"/>
    <w:rsid w:val="7B2110A6"/>
    <w:rsid w:val="7D754E90"/>
    <w:rsid w:val="7E677400"/>
    <w:rsid w:val="7F9D0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21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2021-11-03T07:19:03Z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DFC3ED14CF424DE6BFEB8EE9FB7D4BE3</vt:lpwstr>
  </property>
</Properties>
</file>