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A3C65" w14:textId="77777777" w:rsidR="001F50A3" w:rsidRPr="004F3279" w:rsidRDefault="00AE1299" w:rsidP="004F327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14:paraId="60CBC768" w14:textId="77777777" w:rsidR="00EF4625" w:rsidRDefault="00EF4625">
      <w:pPr>
        <w:pStyle w:val="a9"/>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F4625" w14:paraId="539E76B7" w14:textId="77777777">
        <w:trPr>
          <w:trHeight w:val="515"/>
        </w:trPr>
        <w:tc>
          <w:tcPr>
            <w:tcW w:w="2160" w:type="dxa"/>
            <w:vMerge w:val="restart"/>
            <w:vAlign w:val="center"/>
          </w:tcPr>
          <w:p w14:paraId="04ADBD06" w14:textId="77777777" w:rsidR="00EF4625" w:rsidRDefault="00AE1299">
            <w:pPr>
              <w:spacing w:before="120"/>
              <w:jc w:val="center"/>
              <w:rPr>
                <w:sz w:val="24"/>
                <w:szCs w:val="24"/>
              </w:rPr>
            </w:pPr>
            <w:r>
              <w:rPr>
                <w:rFonts w:hint="eastAsia"/>
                <w:sz w:val="24"/>
                <w:szCs w:val="24"/>
              </w:rPr>
              <w:t>过程与活动、</w:t>
            </w:r>
          </w:p>
          <w:p w14:paraId="1839334C" w14:textId="77777777" w:rsidR="00EF4625" w:rsidRDefault="00AE1299">
            <w:pPr>
              <w:jc w:val="center"/>
            </w:pPr>
            <w:r>
              <w:rPr>
                <w:rFonts w:hint="eastAsia"/>
                <w:sz w:val="24"/>
                <w:szCs w:val="24"/>
              </w:rPr>
              <w:t>抽样计划</w:t>
            </w:r>
          </w:p>
        </w:tc>
        <w:tc>
          <w:tcPr>
            <w:tcW w:w="960" w:type="dxa"/>
            <w:vMerge w:val="restart"/>
            <w:vAlign w:val="center"/>
          </w:tcPr>
          <w:p w14:paraId="6571B337" w14:textId="77777777" w:rsidR="00EF4625" w:rsidRDefault="00AE1299">
            <w:pPr>
              <w:rPr>
                <w:sz w:val="24"/>
                <w:szCs w:val="24"/>
              </w:rPr>
            </w:pPr>
            <w:r>
              <w:rPr>
                <w:rFonts w:hint="eastAsia"/>
                <w:sz w:val="24"/>
                <w:szCs w:val="24"/>
              </w:rPr>
              <w:t>涉及</w:t>
            </w:r>
          </w:p>
          <w:p w14:paraId="55F51F31" w14:textId="77777777" w:rsidR="00EF4625" w:rsidRDefault="00AE1299">
            <w:r>
              <w:rPr>
                <w:rFonts w:hint="eastAsia"/>
                <w:sz w:val="24"/>
                <w:szCs w:val="24"/>
              </w:rPr>
              <w:t>条款</w:t>
            </w:r>
          </w:p>
        </w:tc>
        <w:tc>
          <w:tcPr>
            <w:tcW w:w="10004" w:type="dxa"/>
            <w:vAlign w:val="center"/>
          </w:tcPr>
          <w:p w14:paraId="37BA8F51" w14:textId="77777777" w:rsidR="00EF4625" w:rsidRDefault="00AE1299">
            <w:pPr>
              <w:rPr>
                <w:sz w:val="24"/>
                <w:szCs w:val="24"/>
              </w:rPr>
            </w:pPr>
            <w:r>
              <w:rPr>
                <w:rFonts w:hint="eastAsia"/>
                <w:sz w:val="24"/>
                <w:szCs w:val="24"/>
              </w:rPr>
              <w:t>受审核部门：综合部</w:t>
            </w:r>
            <w:r>
              <w:rPr>
                <w:rFonts w:hint="eastAsia"/>
                <w:sz w:val="24"/>
                <w:szCs w:val="24"/>
              </w:rPr>
              <w:t>(</w:t>
            </w:r>
            <w:r>
              <w:rPr>
                <w:rFonts w:hint="eastAsia"/>
                <w:sz w:val="24"/>
                <w:szCs w:val="24"/>
              </w:rPr>
              <w:t>含财务）</w:t>
            </w:r>
            <w:r>
              <w:rPr>
                <w:rFonts w:hint="eastAsia"/>
                <w:sz w:val="24"/>
                <w:szCs w:val="24"/>
              </w:rPr>
              <w:t xml:space="preserve">    </w:t>
            </w:r>
            <w:r>
              <w:rPr>
                <w:rFonts w:hint="eastAsia"/>
                <w:sz w:val="24"/>
                <w:szCs w:val="24"/>
              </w:rPr>
              <w:t>主管领导：</w:t>
            </w:r>
            <w:proofErr w:type="gramStart"/>
            <w:r>
              <w:rPr>
                <w:rFonts w:hint="eastAsia"/>
              </w:rPr>
              <w:t>方荣丽</w:t>
            </w:r>
            <w:proofErr w:type="gramEnd"/>
            <w:r>
              <w:rPr>
                <w:rFonts w:hint="eastAsia"/>
                <w:sz w:val="24"/>
                <w:szCs w:val="24"/>
              </w:rPr>
              <w:t xml:space="preserve">    </w:t>
            </w:r>
            <w:r>
              <w:rPr>
                <w:rFonts w:hint="eastAsia"/>
                <w:sz w:val="24"/>
                <w:szCs w:val="24"/>
              </w:rPr>
              <w:t>陪同人员：</w:t>
            </w:r>
            <w:proofErr w:type="gramStart"/>
            <w:r>
              <w:rPr>
                <w:rFonts w:hint="eastAsia"/>
              </w:rPr>
              <w:t>包斯琴</w:t>
            </w:r>
            <w:proofErr w:type="gramEnd"/>
          </w:p>
        </w:tc>
        <w:tc>
          <w:tcPr>
            <w:tcW w:w="1585" w:type="dxa"/>
            <w:vMerge w:val="restart"/>
            <w:vAlign w:val="center"/>
          </w:tcPr>
          <w:p w14:paraId="0B18DB37" w14:textId="77777777" w:rsidR="00EF4625" w:rsidRDefault="00AE1299">
            <w:pPr>
              <w:rPr>
                <w:sz w:val="24"/>
                <w:szCs w:val="24"/>
              </w:rPr>
            </w:pPr>
            <w:r>
              <w:rPr>
                <w:rFonts w:hint="eastAsia"/>
                <w:sz w:val="24"/>
                <w:szCs w:val="24"/>
              </w:rPr>
              <w:t>判定</w:t>
            </w:r>
          </w:p>
        </w:tc>
      </w:tr>
      <w:tr w:rsidR="00EF4625" w14:paraId="6FC00FBE" w14:textId="77777777">
        <w:trPr>
          <w:trHeight w:val="403"/>
        </w:trPr>
        <w:tc>
          <w:tcPr>
            <w:tcW w:w="2160" w:type="dxa"/>
            <w:vMerge/>
            <w:vAlign w:val="center"/>
          </w:tcPr>
          <w:p w14:paraId="013D2AFE" w14:textId="77777777" w:rsidR="00EF4625" w:rsidRDefault="00EF4625"/>
        </w:tc>
        <w:tc>
          <w:tcPr>
            <w:tcW w:w="960" w:type="dxa"/>
            <w:vMerge/>
            <w:vAlign w:val="center"/>
          </w:tcPr>
          <w:p w14:paraId="22A703F4" w14:textId="77777777" w:rsidR="00EF4625" w:rsidRDefault="00EF4625"/>
        </w:tc>
        <w:tc>
          <w:tcPr>
            <w:tcW w:w="10004" w:type="dxa"/>
            <w:vAlign w:val="center"/>
          </w:tcPr>
          <w:p w14:paraId="7C4F6B86" w14:textId="41476C2A" w:rsidR="00EF4625" w:rsidRDefault="001F50A3">
            <w:pPr>
              <w:spacing w:before="120"/>
            </w:pPr>
            <w:r>
              <w:rPr>
                <w:rFonts w:hint="eastAsia"/>
                <w:sz w:val="24"/>
                <w:szCs w:val="24"/>
              </w:rPr>
              <w:t>审核员：张鹏</w:t>
            </w:r>
            <w:r>
              <w:rPr>
                <w:rFonts w:hint="eastAsia"/>
                <w:sz w:val="24"/>
                <w:szCs w:val="24"/>
              </w:rPr>
              <w:t xml:space="preserve"> </w:t>
            </w:r>
            <w:r>
              <w:rPr>
                <w:rFonts w:hint="eastAsia"/>
                <w:sz w:val="24"/>
                <w:szCs w:val="24"/>
              </w:rPr>
              <w:t>朱晓丽</w:t>
            </w:r>
            <w:r>
              <w:rPr>
                <w:rFonts w:hint="eastAsia"/>
                <w:sz w:val="24"/>
                <w:szCs w:val="24"/>
              </w:rPr>
              <w:t xml:space="preserve"> </w:t>
            </w:r>
            <w:r>
              <w:rPr>
                <w:rFonts w:hint="eastAsia"/>
                <w:sz w:val="24"/>
                <w:szCs w:val="24"/>
              </w:rPr>
              <w:t>李青</w:t>
            </w:r>
            <w:r w:rsidR="00B839DA">
              <w:rPr>
                <w:rFonts w:hint="eastAsia"/>
                <w:sz w:val="24"/>
                <w:szCs w:val="24"/>
              </w:rPr>
              <w:t>（实习）</w:t>
            </w:r>
            <w:r w:rsidR="00AE1299">
              <w:rPr>
                <w:rFonts w:hint="eastAsia"/>
                <w:sz w:val="24"/>
                <w:szCs w:val="24"/>
              </w:rPr>
              <w:t xml:space="preserve">      </w:t>
            </w:r>
            <w:r w:rsidR="00AE1299">
              <w:rPr>
                <w:rFonts w:hint="eastAsia"/>
                <w:sz w:val="24"/>
                <w:szCs w:val="24"/>
              </w:rPr>
              <w:t>审核时间：</w:t>
            </w:r>
            <w:r>
              <w:rPr>
                <w:rFonts w:hint="eastAsia"/>
                <w:sz w:val="24"/>
                <w:szCs w:val="24"/>
              </w:rPr>
              <w:t>2021.11.14</w:t>
            </w:r>
            <w:r>
              <w:rPr>
                <w:rFonts w:hint="eastAsia"/>
                <w:sz w:val="24"/>
                <w:szCs w:val="24"/>
              </w:rPr>
              <w:t>上午</w:t>
            </w:r>
          </w:p>
        </w:tc>
        <w:tc>
          <w:tcPr>
            <w:tcW w:w="1585" w:type="dxa"/>
            <w:vMerge/>
          </w:tcPr>
          <w:p w14:paraId="0DDCEEC1" w14:textId="77777777" w:rsidR="00EF4625" w:rsidRDefault="00EF4625"/>
        </w:tc>
      </w:tr>
      <w:tr w:rsidR="00EF4625" w14:paraId="324327D1" w14:textId="77777777">
        <w:trPr>
          <w:trHeight w:val="516"/>
        </w:trPr>
        <w:tc>
          <w:tcPr>
            <w:tcW w:w="2160" w:type="dxa"/>
            <w:vMerge/>
            <w:vAlign w:val="center"/>
          </w:tcPr>
          <w:p w14:paraId="3628DD9E" w14:textId="77777777" w:rsidR="00EF4625" w:rsidRDefault="00EF4625"/>
        </w:tc>
        <w:tc>
          <w:tcPr>
            <w:tcW w:w="960" w:type="dxa"/>
            <w:vMerge/>
            <w:vAlign w:val="center"/>
          </w:tcPr>
          <w:p w14:paraId="58CAB7F6" w14:textId="77777777" w:rsidR="00EF4625" w:rsidRDefault="00EF4625"/>
        </w:tc>
        <w:tc>
          <w:tcPr>
            <w:tcW w:w="10004" w:type="dxa"/>
            <w:vAlign w:val="center"/>
          </w:tcPr>
          <w:p w14:paraId="74002FBB" w14:textId="77777777" w:rsidR="00EF4625" w:rsidRDefault="00AE1299">
            <w:pPr>
              <w:rPr>
                <w:szCs w:val="22"/>
              </w:rPr>
            </w:pPr>
            <w:r>
              <w:rPr>
                <w:rFonts w:hint="eastAsia"/>
                <w:sz w:val="24"/>
                <w:szCs w:val="24"/>
              </w:rPr>
              <w:t>审核条款</w:t>
            </w:r>
            <w:r>
              <w:rPr>
                <w:rFonts w:hint="eastAsia"/>
                <w:szCs w:val="22"/>
              </w:rPr>
              <w:t>：</w:t>
            </w:r>
            <w:r w:rsidR="00C02C24">
              <w:rPr>
                <w:rFonts w:hint="eastAsia"/>
                <w:szCs w:val="22"/>
              </w:rPr>
              <w:t>危险源辨识及风险和机遇的评价</w:t>
            </w:r>
            <w:r>
              <w:rPr>
                <w:rFonts w:hint="eastAsia"/>
                <w:szCs w:val="22"/>
              </w:rPr>
              <w:t>及评价；合格义务；措施的策划；目标及其实现的策划；监视测量分析和评价（总则）；合</w:t>
            </w:r>
            <w:proofErr w:type="gramStart"/>
            <w:r>
              <w:rPr>
                <w:rFonts w:hint="eastAsia"/>
                <w:szCs w:val="22"/>
              </w:rPr>
              <w:t>规</w:t>
            </w:r>
            <w:proofErr w:type="gramEnd"/>
            <w:r>
              <w:rPr>
                <w:rFonts w:hint="eastAsia"/>
                <w:szCs w:val="22"/>
              </w:rPr>
              <w:t>性评价；</w:t>
            </w:r>
            <w:r w:rsidR="00C02C24">
              <w:rPr>
                <w:szCs w:val="22"/>
              </w:rPr>
              <w:t xml:space="preserve"> </w:t>
            </w:r>
          </w:p>
          <w:p w14:paraId="46341132" w14:textId="77777777" w:rsidR="00EF4625" w:rsidRDefault="00AE1299" w:rsidP="001F50A3">
            <w:pPr>
              <w:rPr>
                <w:sz w:val="24"/>
                <w:szCs w:val="24"/>
              </w:rPr>
            </w:pPr>
            <w:r>
              <w:rPr>
                <w:rFonts w:hint="eastAsia"/>
                <w:szCs w:val="22"/>
              </w:rPr>
              <w:t>O</w:t>
            </w:r>
            <w:r w:rsidR="001F50A3">
              <w:rPr>
                <w:szCs w:val="22"/>
              </w:rPr>
              <w:t>:/6.1.2/</w:t>
            </w:r>
            <w:r>
              <w:rPr>
                <w:szCs w:val="22"/>
              </w:rPr>
              <w:t>/6.1.3</w:t>
            </w:r>
            <w:r>
              <w:rPr>
                <w:rFonts w:hint="eastAsia"/>
                <w:szCs w:val="22"/>
              </w:rPr>
              <w:t>/</w:t>
            </w:r>
            <w:r>
              <w:rPr>
                <w:szCs w:val="22"/>
              </w:rPr>
              <w:t>6.2//</w:t>
            </w:r>
            <w:r>
              <w:rPr>
                <w:rFonts w:hint="eastAsia"/>
                <w:szCs w:val="22"/>
              </w:rPr>
              <w:t>9</w:t>
            </w:r>
            <w:r>
              <w:rPr>
                <w:szCs w:val="22"/>
              </w:rPr>
              <w:t>.1.</w:t>
            </w:r>
            <w:r>
              <w:rPr>
                <w:rFonts w:hint="eastAsia"/>
                <w:szCs w:val="22"/>
              </w:rPr>
              <w:t>2</w:t>
            </w:r>
            <w:r>
              <w:rPr>
                <w:szCs w:val="22"/>
              </w:rPr>
              <w:t>/9.1.1</w:t>
            </w:r>
          </w:p>
        </w:tc>
        <w:tc>
          <w:tcPr>
            <w:tcW w:w="1585" w:type="dxa"/>
            <w:vMerge/>
          </w:tcPr>
          <w:p w14:paraId="5684732B" w14:textId="77777777" w:rsidR="00EF4625" w:rsidRDefault="00EF4625"/>
        </w:tc>
      </w:tr>
      <w:tr w:rsidR="00EF4625" w14:paraId="4CC453A2" w14:textId="77777777">
        <w:trPr>
          <w:trHeight w:val="1946"/>
        </w:trPr>
        <w:tc>
          <w:tcPr>
            <w:tcW w:w="2160" w:type="dxa"/>
          </w:tcPr>
          <w:p w14:paraId="555B45AE" w14:textId="77777777" w:rsidR="00EF4625" w:rsidRDefault="00EF4625">
            <w:pPr>
              <w:rPr>
                <w:szCs w:val="22"/>
              </w:rPr>
            </w:pPr>
          </w:p>
          <w:p w14:paraId="298D0C5D" w14:textId="77777777" w:rsidR="00EF4625" w:rsidRDefault="00AE1299">
            <w:pPr>
              <w:rPr>
                <w:szCs w:val="22"/>
              </w:rPr>
            </w:pPr>
            <w:r>
              <w:rPr>
                <w:rFonts w:hint="eastAsia"/>
                <w:szCs w:val="22"/>
              </w:rPr>
              <w:t>危险源辨识及风险和机遇的评价</w:t>
            </w:r>
          </w:p>
          <w:p w14:paraId="232011B2" w14:textId="77777777" w:rsidR="00EF4625" w:rsidRDefault="00AE1299">
            <w:pPr>
              <w:rPr>
                <w:szCs w:val="22"/>
              </w:rPr>
            </w:pPr>
            <w:r>
              <w:rPr>
                <w:rFonts w:hint="eastAsia"/>
                <w:szCs w:val="22"/>
              </w:rPr>
              <w:t>危险源辨识</w:t>
            </w:r>
          </w:p>
          <w:p w14:paraId="20539F33" w14:textId="77777777" w:rsidR="00EF4625" w:rsidRDefault="00EF4625">
            <w:pPr>
              <w:rPr>
                <w:szCs w:val="22"/>
              </w:rPr>
            </w:pPr>
          </w:p>
          <w:p w14:paraId="430F3095" w14:textId="77777777" w:rsidR="00EF4625" w:rsidRDefault="00EF4625">
            <w:pPr>
              <w:rPr>
                <w:szCs w:val="22"/>
              </w:rPr>
            </w:pPr>
          </w:p>
          <w:p w14:paraId="38C7A1CA" w14:textId="77777777" w:rsidR="00EF4625" w:rsidRDefault="00EF4625">
            <w:pPr>
              <w:rPr>
                <w:szCs w:val="22"/>
              </w:rPr>
            </w:pPr>
          </w:p>
          <w:p w14:paraId="5D969E2B" w14:textId="77777777" w:rsidR="00EF4625" w:rsidRDefault="00EF4625">
            <w:pPr>
              <w:rPr>
                <w:szCs w:val="22"/>
              </w:rPr>
            </w:pPr>
          </w:p>
          <w:p w14:paraId="763EC503" w14:textId="77777777" w:rsidR="00EF4625" w:rsidRDefault="00EF4625">
            <w:pPr>
              <w:rPr>
                <w:szCs w:val="22"/>
              </w:rPr>
            </w:pPr>
          </w:p>
          <w:p w14:paraId="61190BC9" w14:textId="77777777" w:rsidR="00EF4625" w:rsidRDefault="00EF4625">
            <w:pPr>
              <w:rPr>
                <w:szCs w:val="22"/>
              </w:rPr>
            </w:pPr>
          </w:p>
          <w:p w14:paraId="18E5F610" w14:textId="77777777" w:rsidR="003010AD" w:rsidRDefault="003010AD">
            <w:pPr>
              <w:rPr>
                <w:szCs w:val="22"/>
              </w:rPr>
            </w:pPr>
          </w:p>
          <w:p w14:paraId="491D87B3" w14:textId="77777777" w:rsidR="003010AD" w:rsidRDefault="003010AD">
            <w:pPr>
              <w:rPr>
                <w:szCs w:val="22"/>
              </w:rPr>
            </w:pPr>
          </w:p>
          <w:p w14:paraId="0CEBA73C" w14:textId="77777777" w:rsidR="003010AD" w:rsidRDefault="003010AD">
            <w:pPr>
              <w:rPr>
                <w:szCs w:val="22"/>
              </w:rPr>
            </w:pPr>
          </w:p>
          <w:p w14:paraId="477B6E08" w14:textId="77777777" w:rsidR="003010AD" w:rsidRDefault="003010AD">
            <w:pPr>
              <w:rPr>
                <w:szCs w:val="22"/>
              </w:rPr>
            </w:pPr>
          </w:p>
          <w:p w14:paraId="6538FC73" w14:textId="77777777" w:rsidR="003010AD" w:rsidRDefault="003010AD">
            <w:pPr>
              <w:rPr>
                <w:szCs w:val="22"/>
              </w:rPr>
            </w:pPr>
          </w:p>
          <w:p w14:paraId="5639B5EC" w14:textId="77777777" w:rsidR="00EF4625" w:rsidRDefault="00AE1299">
            <w:pPr>
              <w:rPr>
                <w:szCs w:val="22"/>
              </w:rPr>
            </w:pPr>
            <w:r>
              <w:rPr>
                <w:rFonts w:hint="eastAsia"/>
                <w:szCs w:val="22"/>
              </w:rPr>
              <w:t>职业健康安全风险和对职业健康安全管理体系的其他风险的评价</w:t>
            </w:r>
          </w:p>
          <w:p w14:paraId="7F04F905" w14:textId="77777777" w:rsidR="00EF4625" w:rsidRDefault="00EF4625">
            <w:pPr>
              <w:rPr>
                <w:szCs w:val="22"/>
              </w:rPr>
            </w:pPr>
          </w:p>
          <w:p w14:paraId="7CD2304B" w14:textId="77777777" w:rsidR="00EF4625" w:rsidRDefault="00EF4625">
            <w:pPr>
              <w:rPr>
                <w:szCs w:val="22"/>
              </w:rPr>
            </w:pPr>
          </w:p>
          <w:p w14:paraId="2693BAA3" w14:textId="77777777" w:rsidR="00EF4625" w:rsidRDefault="00EF4625">
            <w:pPr>
              <w:rPr>
                <w:szCs w:val="22"/>
              </w:rPr>
            </w:pPr>
          </w:p>
          <w:p w14:paraId="0C6BCFC4" w14:textId="77777777" w:rsidR="00EF4625" w:rsidRDefault="00EF4625">
            <w:pPr>
              <w:rPr>
                <w:szCs w:val="22"/>
              </w:rPr>
            </w:pPr>
          </w:p>
          <w:p w14:paraId="1F0E4FCC" w14:textId="77777777" w:rsidR="00EF4625" w:rsidRDefault="00AE1299">
            <w:pPr>
              <w:rPr>
                <w:szCs w:val="22"/>
              </w:rPr>
            </w:pPr>
            <w:r>
              <w:rPr>
                <w:rFonts w:hint="eastAsia"/>
                <w:szCs w:val="22"/>
              </w:rPr>
              <w:t>职业健康安全机遇和对职业健康安全管理体系的其他机遇的评价</w:t>
            </w:r>
          </w:p>
        </w:tc>
        <w:tc>
          <w:tcPr>
            <w:tcW w:w="960" w:type="dxa"/>
          </w:tcPr>
          <w:p w14:paraId="0318046E" w14:textId="77777777" w:rsidR="00EF4625" w:rsidRDefault="00EF4625">
            <w:pPr>
              <w:rPr>
                <w:szCs w:val="22"/>
              </w:rPr>
            </w:pPr>
          </w:p>
          <w:p w14:paraId="4B6E8FBB" w14:textId="77777777" w:rsidR="00EF4625" w:rsidRDefault="00AE1299">
            <w:pPr>
              <w:rPr>
                <w:szCs w:val="22"/>
              </w:rPr>
            </w:pPr>
            <w:r>
              <w:rPr>
                <w:rFonts w:hint="eastAsia"/>
                <w:szCs w:val="22"/>
              </w:rPr>
              <w:t>6.1.2</w:t>
            </w:r>
          </w:p>
          <w:p w14:paraId="6B8CD35F" w14:textId="77777777" w:rsidR="00EF4625" w:rsidRDefault="00AE1299">
            <w:pPr>
              <w:rPr>
                <w:szCs w:val="22"/>
              </w:rPr>
            </w:pPr>
            <w:r>
              <w:rPr>
                <w:rFonts w:hint="eastAsia"/>
                <w:szCs w:val="22"/>
              </w:rPr>
              <w:t>6.1.2.1</w:t>
            </w:r>
          </w:p>
          <w:p w14:paraId="1495DD93" w14:textId="77777777" w:rsidR="00EF4625" w:rsidRDefault="00EF4625">
            <w:pPr>
              <w:rPr>
                <w:szCs w:val="22"/>
              </w:rPr>
            </w:pPr>
          </w:p>
          <w:p w14:paraId="5461FFD5" w14:textId="77777777" w:rsidR="00EF4625" w:rsidRDefault="00EF4625">
            <w:pPr>
              <w:rPr>
                <w:szCs w:val="22"/>
              </w:rPr>
            </w:pPr>
          </w:p>
          <w:p w14:paraId="4EA06765" w14:textId="77777777" w:rsidR="00EF4625" w:rsidRDefault="00EF4625">
            <w:pPr>
              <w:rPr>
                <w:szCs w:val="22"/>
              </w:rPr>
            </w:pPr>
          </w:p>
          <w:p w14:paraId="7AAB5F6F" w14:textId="77777777" w:rsidR="00EF4625" w:rsidRDefault="00EF4625">
            <w:pPr>
              <w:rPr>
                <w:szCs w:val="22"/>
              </w:rPr>
            </w:pPr>
          </w:p>
          <w:p w14:paraId="1B792C0C" w14:textId="77777777" w:rsidR="00EF4625" w:rsidRDefault="00EF4625">
            <w:pPr>
              <w:rPr>
                <w:szCs w:val="22"/>
              </w:rPr>
            </w:pPr>
          </w:p>
          <w:p w14:paraId="129B929E" w14:textId="77777777" w:rsidR="00EF4625" w:rsidRDefault="00EF4625">
            <w:pPr>
              <w:rPr>
                <w:szCs w:val="22"/>
              </w:rPr>
            </w:pPr>
          </w:p>
          <w:p w14:paraId="75546B19" w14:textId="77777777" w:rsidR="00EF4625" w:rsidRDefault="00EF4625">
            <w:pPr>
              <w:rPr>
                <w:szCs w:val="22"/>
              </w:rPr>
            </w:pPr>
          </w:p>
          <w:p w14:paraId="429D84A9" w14:textId="77777777" w:rsidR="003010AD" w:rsidRDefault="003010AD">
            <w:pPr>
              <w:rPr>
                <w:szCs w:val="22"/>
              </w:rPr>
            </w:pPr>
          </w:p>
          <w:p w14:paraId="2FF7147F" w14:textId="77777777" w:rsidR="003010AD" w:rsidRDefault="003010AD">
            <w:pPr>
              <w:rPr>
                <w:szCs w:val="22"/>
              </w:rPr>
            </w:pPr>
          </w:p>
          <w:p w14:paraId="34DA2275" w14:textId="77777777" w:rsidR="003010AD" w:rsidRDefault="003010AD">
            <w:pPr>
              <w:rPr>
                <w:szCs w:val="22"/>
              </w:rPr>
            </w:pPr>
          </w:p>
          <w:p w14:paraId="2F689F92" w14:textId="77777777" w:rsidR="003010AD" w:rsidRDefault="003010AD">
            <w:pPr>
              <w:rPr>
                <w:szCs w:val="22"/>
              </w:rPr>
            </w:pPr>
          </w:p>
          <w:p w14:paraId="5BBE7F4D" w14:textId="77777777" w:rsidR="003010AD" w:rsidRDefault="003010AD">
            <w:pPr>
              <w:rPr>
                <w:szCs w:val="22"/>
              </w:rPr>
            </w:pPr>
          </w:p>
          <w:p w14:paraId="36268FF4" w14:textId="77777777" w:rsidR="00EF4625" w:rsidRDefault="00AE1299">
            <w:pPr>
              <w:rPr>
                <w:szCs w:val="22"/>
              </w:rPr>
            </w:pPr>
            <w:r>
              <w:rPr>
                <w:rFonts w:hint="eastAsia"/>
                <w:szCs w:val="22"/>
              </w:rPr>
              <w:t>6.1.2.2</w:t>
            </w:r>
          </w:p>
          <w:p w14:paraId="006D5B76" w14:textId="77777777" w:rsidR="00EF4625" w:rsidRDefault="00EF4625">
            <w:pPr>
              <w:rPr>
                <w:szCs w:val="22"/>
              </w:rPr>
            </w:pPr>
          </w:p>
          <w:p w14:paraId="7E5A6CD8" w14:textId="77777777" w:rsidR="00EF4625" w:rsidRDefault="00EF4625">
            <w:pPr>
              <w:rPr>
                <w:szCs w:val="22"/>
              </w:rPr>
            </w:pPr>
          </w:p>
          <w:p w14:paraId="6E0E9666" w14:textId="77777777" w:rsidR="00EF4625" w:rsidRDefault="00EF4625">
            <w:pPr>
              <w:rPr>
                <w:szCs w:val="22"/>
              </w:rPr>
            </w:pPr>
          </w:p>
          <w:p w14:paraId="40ACBD11" w14:textId="77777777" w:rsidR="00EF4625" w:rsidRDefault="00EF4625">
            <w:pPr>
              <w:rPr>
                <w:szCs w:val="22"/>
              </w:rPr>
            </w:pPr>
          </w:p>
          <w:p w14:paraId="3DDE1250" w14:textId="77777777" w:rsidR="00EF4625" w:rsidRDefault="00EF4625">
            <w:pPr>
              <w:rPr>
                <w:szCs w:val="22"/>
              </w:rPr>
            </w:pPr>
          </w:p>
          <w:p w14:paraId="0B715870" w14:textId="77777777" w:rsidR="00EF4625" w:rsidRDefault="00EF4625">
            <w:pPr>
              <w:rPr>
                <w:szCs w:val="22"/>
              </w:rPr>
            </w:pPr>
          </w:p>
          <w:p w14:paraId="165A7E35" w14:textId="77777777" w:rsidR="00EF4625" w:rsidRDefault="00EF4625">
            <w:pPr>
              <w:rPr>
                <w:szCs w:val="22"/>
              </w:rPr>
            </w:pPr>
          </w:p>
          <w:p w14:paraId="28A86F9A" w14:textId="77777777" w:rsidR="00EF4625" w:rsidRDefault="00AE1299">
            <w:pPr>
              <w:rPr>
                <w:szCs w:val="22"/>
              </w:rPr>
            </w:pPr>
            <w:r>
              <w:rPr>
                <w:rFonts w:hint="eastAsia"/>
                <w:szCs w:val="22"/>
              </w:rPr>
              <w:t xml:space="preserve">6.1.2.3 </w:t>
            </w:r>
          </w:p>
          <w:p w14:paraId="60CE3133" w14:textId="77777777" w:rsidR="00EF4625" w:rsidRDefault="00EF4625">
            <w:pPr>
              <w:rPr>
                <w:szCs w:val="22"/>
              </w:rPr>
            </w:pPr>
          </w:p>
          <w:p w14:paraId="61424B97" w14:textId="77777777" w:rsidR="00EF4625" w:rsidRDefault="00EF4625">
            <w:pPr>
              <w:rPr>
                <w:szCs w:val="22"/>
              </w:rPr>
            </w:pPr>
          </w:p>
          <w:p w14:paraId="475AC66F" w14:textId="77777777" w:rsidR="00EF4625" w:rsidRDefault="00EF4625">
            <w:pPr>
              <w:rPr>
                <w:szCs w:val="22"/>
              </w:rPr>
            </w:pPr>
          </w:p>
          <w:p w14:paraId="007B5D5B" w14:textId="77777777" w:rsidR="00EF4625" w:rsidRDefault="00EF4625">
            <w:pPr>
              <w:rPr>
                <w:szCs w:val="22"/>
              </w:rPr>
            </w:pPr>
          </w:p>
        </w:tc>
        <w:tc>
          <w:tcPr>
            <w:tcW w:w="10004" w:type="dxa"/>
          </w:tcPr>
          <w:p w14:paraId="17B9150C" w14:textId="77777777" w:rsidR="00EF4625" w:rsidRDefault="00AE1299">
            <w:pPr>
              <w:rPr>
                <w:szCs w:val="22"/>
              </w:rPr>
            </w:pPr>
            <w:r w:rsidRPr="009C2F54">
              <w:rPr>
                <w:rFonts w:hint="eastAsia"/>
                <w:szCs w:val="22"/>
              </w:rPr>
              <w:lastRenderedPageBreak/>
              <w:t>本部门主</w:t>
            </w:r>
            <w:r>
              <w:rPr>
                <w:rFonts w:hint="eastAsia"/>
                <w:szCs w:val="22"/>
              </w:rPr>
              <w:t>要从事一般办公事务、办公环境相对安全、周围未见明显危险环境；涉及活动包括上下班、出差等；</w:t>
            </w:r>
          </w:p>
          <w:p w14:paraId="32692E8D" w14:textId="77777777" w:rsidR="00EF4625" w:rsidRDefault="00EF4625">
            <w:pPr>
              <w:rPr>
                <w:szCs w:val="22"/>
              </w:rPr>
            </w:pPr>
          </w:p>
          <w:p w14:paraId="082B9741" w14:textId="77777777" w:rsidR="003010AD" w:rsidRDefault="00AE1299">
            <w:pPr>
              <w:rPr>
                <w:szCs w:val="22"/>
              </w:rPr>
            </w:pPr>
            <w:r>
              <w:rPr>
                <w:rFonts w:hint="eastAsia"/>
                <w:szCs w:val="22"/>
              </w:rPr>
              <w:t>编制了《</w:t>
            </w:r>
            <w:r w:rsidR="001F50A3">
              <w:rPr>
                <w:rFonts w:hint="eastAsia"/>
                <w:szCs w:val="21"/>
              </w:rPr>
              <w:t>危险源辨识与风险评价管理程序</w:t>
            </w:r>
            <w:r>
              <w:rPr>
                <w:rFonts w:hint="eastAsia"/>
                <w:szCs w:val="22"/>
              </w:rPr>
              <w:t>》</w:t>
            </w:r>
          </w:p>
          <w:p w14:paraId="0B56410A" w14:textId="77777777" w:rsidR="00CB2591" w:rsidRDefault="00CB2591" w:rsidP="00CB2591">
            <w:pPr>
              <w:rPr>
                <w:szCs w:val="21"/>
              </w:rPr>
            </w:pPr>
            <w:r>
              <w:rPr>
                <w:rFonts w:hint="eastAsia"/>
                <w:szCs w:val="21"/>
              </w:rPr>
              <w:t>对影响职业健康安全的危险源，采用</w:t>
            </w:r>
            <w:r>
              <w:rPr>
                <w:rFonts w:hint="eastAsia"/>
                <w:szCs w:val="22"/>
              </w:rPr>
              <w:t>LECD</w:t>
            </w:r>
            <w:r>
              <w:rPr>
                <w:rFonts w:hint="eastAsia"/>
                <w:szCs w:val="22"/>
              </w:rPr>
              <w:t>评价</w:t>
            </w:r>
            <w:proofErr w:type="gramStart"/>
            <w:r>
              <w:rPr>
                <w:rFonts w:hint="eastAsia"/>
                <w:szCs w:val="22"/>
              </w:rPr>
              <w:t>法</w:t>
            </w:r>
            <w:r>
              <w:rPr>
                <w:rFonts w:hint="eastAsia"/>
                <w:szCs w:val="21"/>
              </w:rPr>
              <w:t>评价</w:t>
            </w:r>
            <w:proofErr w:type="gramEnd"/>
            <w:r>
              <w:rPr>
                <w:rFonts w:hint="eastAsia"/>
                <w:szCs w:val="21"/>
              </w:rPr>
              <w:t>其风险程度及级别，不可接受风险评价的标准和更新的时机</w:t>
            </w:r>
            <w:r>
              <w:rPr>
                <w:rFonts w:hint="eastAsia"/>
                <w:szCs w:val="21"/>
              </w:rPr>
              <w:t>,</w:t>
            </w:r>
            <w:r>
              <w:rPr>
                <w:rFonts w:hint="eastAsia"/>
                <w:szCs w:val="21"/>
              </w:rPr>
              <w:t>并确定更新不可接受风险因素从而进行有效控制等方面的管理要求进行了规定，满足要求。</w:t>
            </w:r>
          </w:p>
          <w:p w14:paraId="0709E31B" w14:textId="77777777" w:rsidR="00CB2591" w:rsidRPr="00CB2591" w:rsidRDefault="00CB2591" w:rsidP="00CB2591">
            <w:pPr>
              <w:pStyle w:val="a0"/>
            </w:pPr>
          </w:p>
          <w:p w14:paraId="215A4310" w14:textId="77777777" w:rsidR="00CB2591" w:rsidRPr="00CB2591" w:rsidRDefault="00CB2591" w:rsidP="00CB2591">
            <w:pPr>
              <w:pStyle w:val="a0"/>
            </w:pPr>
            <w:r>
              <w:rPr>
                <w:rFonts w:hint="eastAsia"/>
                <w:szCs w:val="21"/>
              </w:rPr>
              <w:t>提供的：《部门危险源识别与评价表》《不可接受风险源清单》，</w:t>
            </w:r>
            <w:r>
              <w:rPr>
                <w:rFonts w:hint="eastAsia"/>
                <w:szCs w:val="22"/>
              </w:rPr>
              <w:t>识别的危险源中、包括“电气漏电、火灾、消防设施的不足、饮水机操作等，新增</w:t>
            </w:r>
            <w:r w:rsidRPr="003010AD">
              <w:rPr>
                <w:rFonts w:hint="eastAsia"/>
                <w:szCs w:val="22"/>
              </w:rPr>
              <w:t>新型冠状病毒</w:t>
            </w:r>
            <w:r>
              <w:rPr>
                <w:rFonts w:hint="eastAsia"/>
                <w:szCs w:val="22"/>
              </w:rPr>
              <w:t>感染危险源，——查基本全面</w:t>
            </w:r>
            <w:r>
              <w:rPr>
                <w:rFonts w:hint="eastAsia"/>
                <w:szCs w:val="21"/>
              </w:rPr>
              <w:t>评价考虑了将来、状态、可能导致的事件，并进行了评价，用打分法、风险等级法考虑了法规符合性、发生频次、影响范围等，共识别出不可接受风险</w:t>
            </w:r>
            <w:r>
              <w:rPr>
                <w:szCs w:val="21"/>
              </w:rPr>
              <w:t>2</w:t>
            </w:r>
            <w:r>
              <w:rPr>
                <w:rFonts w:hint="eastAsia"/>
                <w:szCs w:val="21"/>
              </w:rPr>
              <w:t>项，涉及：潜在火灾和交通意外、触电。评价符合程序要求及公司的实际情况。对危险源的控制措施包括制定管理制度、监督检查、应急预案、培训等。制定的方案及预案可行</w:t>
            </w:r>
          </w:p>
          <w:p w14:paraId="1ECB7A25" w14:textId="77777777" w:rsidR="00EF4625" w:rsidRDefault="00AE1299">
            <w:pPr>
              <w:rPr>
                <w:szCs w:val="22"/>
              </w:rPr>
            </w:pPr>
            <w:r>
              <w:rPr>
                <w:rFonts w:hint="eastAsia"/>
                <w:szCs w:val="22"/>
              </w:rPr>
              <w:t>文件有编审批更新日期“</w:t>
            </w:r>
            <w:r w:rsidR="00CB2591">
              <w:rPr>
                <w:rFonts w:hint="eastAsia"/>
                <w:szCs w:val="22"/>
              </w:rPr>
              <w:t>2021</w:t>
            </w:r>
            <w:r>
              <w:rPr>
                <w:rFonts w:hint="eastAsia"/>
                <w:szCs w:val="22"/>
              </w:rPr>
              <w:t>.4.10</w:t>
            </w:r>
            <w:r>
              <w:rPr>
                <w:rFonts w:hint="eastAsia"/>
                <w:szCs w:val="22"/>
              </w:rPr>
              <w:t>”；</w:t>
            </w:r>
          </w:p>
          <w:p w14:paraId="7F19978B" w14:textId="77777777" w:rsidR="00EF4625" w:rsidRDefault="00AE1299">
            <w:pPr>
              <w:rPr>
                <w:szCs w:val="22"/>
              </w:rPr>
            </w:pPr>
            <w:proofErr w:type="gramStart"/>
            <w:r>
              <w:rPr>
                <w:rFonts w:hint="eastAsia"/>
                <w:szCs w:val="22"/>
              </w:rPr>
              <w:t>查近一年</w:t>
            </w:r>
            <w:proofErr w:type="gramEnd"/>
            <w:r>
              <w:rPr>
                <w:rFonts w:hint="eastAsia"/>
                <w:szCs w:val="22"/>
              </w:rPr>
              <w:t xml:space="preserve"> </w:t>
            </w:r>
            <w:r>
              <w:rPr>
                <w:rFonts w:hint="eastAsia"/>
                <w:szCs w:val="22"/>
              </w:rPr>
              <w:t>场地环境没有变化；</w:t>
            </w:r>
          </w:p>
          <w:p w14:paraId="13D7BD9A" w14:textId="77777777" w:rsidR="00EF4625" w:rsidRDefault="00EF4625">
            <w:pPr>
              <w:rPr>
                <w:szCs w:val="22"/>
              </w:rPr>
            </w:pPr>
          </w:p>
          <w:p w14:paraId="56916FD2" w14:textId="77777777" w:rsidR="00EF4625" w:rsidRDefault="00AE1299">
            <w:pPr>
              <w:rPr>
                <w:szCs w:val="22"/>
              </w:rPr>
            </w:pPr>
            <w:proofErr w:type="gramStart"/>
            <w:r>
              <w:rPr>
                <w:rFonts w:hint="eastAsia"/>
                <w:szCs w:val="22"/>
              </w:rPr>
              <w:t>查上述</w:t>
            </w:r>
            <w:proofErr w:type="gramEnd"/>
            <w:r>
              <w:rPr>
                <w:rFonts w:hint="eastAsia"/>
                <w:szCs w:val="22"/>
              </w:rPr>
              <w:t>表单信息：</w:t>
            </w:r>
          </w:p>
          <w:p w14:paraId="247BB1F1" w14:textId="77777777" w:rsidR="00EF4625" w:rsidRDefault="00AE1299">
            <w:pPr>
              <w:rPr>
                <w:szCs w:val="22"/>
              </w:rPr>
            </w:pPr>
            <w:r>
              <w:rPr>
                <w:rFonts w:hint="eastAsia"/>
                <w:szCs w:val="22"/>
              </w:rPr>
              <w:t>“组织的职业健康安全风险评价方法和准则”具体：</w:t>
            </w:r>
            <w:r>
              <w:rPr>
                <w:rFonts w:hint="eastAsia"/>
                <w:szCs w:val="22"/>
              </w:rPr>
              <w:t>LECD</w:t>
            </w:r>
            <w:r>
              <w:rPr>
                <w:rFonts w:hint="eastAsia"/>
                <w:szCs w:val="22"/>
              </w:rPr>
              <w:t>法；查其范围、性质和时机已经予以界定、并确保其是主动的而非被动的并被系统地使用——基本符合规定；</w:t>
            </w:r>
          </w:p>
          <w:p w14:paraId="38663E8C" w14:textId="77777777" w:rsidR="00EF4625" w:rsidRDefault="00AE1299">
            <w:pPr>
              <w:rPr>
                <w:szCs w:val="22"/>
              </w:rPr>
            </w:pPr>
            <w:r>
              <w:rPr>
                <w:rFonts w:hint="eastAsia"/>
                <w:szCs w:val="22"/>
              </w:rPr>
              <w:t>同（危险源识别）：</w:t>
            </w:r>
          </w:p>
          <w:p w14:paraId="457A4C16" w14:textId="77777777" w:rsidR="00EF4625" w:rsidRDefault="00AE1299">
            <w:pPr>
              <w:rPr>
                <w:szCs w:val="22"/>
              </w:rPr>
            </w:pPr>
            <w:r>
              <w:rPr>
                <w:rFonts w:hint="eastAsia"/>
                <w:szCs w:val="22"/>
              </w:rPr>
              <w:lastRenderedPageBreak/>
              <w:t>查已对所识别的危险源进行了职业健康安全风险评价并考虑现有控制措施的有效性。</w:t>
            </w:r>
          </w:p>
          <w:p w14:paraId="7FC5CFEA" w14:textId="77777777" w:rsidR="00EF4625" w:rsidRDefault="00AE1299">
            <w:pPr>
              <w:rPr>
                <w:szCs w:val="22"/>
              </w:rPr>
            </w:pPr>
            <w:r>
              <w:rPr>
                <w:rFonts w:hint="eastAsia"/>
                <w:szCs w:val="22"/>
              </w:rPr>
              <w:t>另外组织已经确定并评价与职业健康安全管理体系的建立、实施、运行和保持有关的其他风险：包括合</w:t>
            </w:r>
            <w:proofErr w:type="gramStart"/>
            <w:r>
              <w:rPr>
                <w:rFonts w:hint="eastAsia"/>
                <w:szCs w:val="22"/>
              </w:rPr>
              <w:t>规</w:t>
            </w:r>
            <w:proofErr w:type="gramEnd"/>
            <w:r>
              <w:rPr>
                <w:rFonts w:hint="eastAsia"/>
                <w:szCs w:val="22"/>
              </w:rPr>
              <w:t>义务、紧急情况等——基本符合规定；</w:t>
            </w:r>
          </w:p>
          <w:p w14:paraId="62C641BC" w14:textId="77777777" w:rsidR="003010AD" w:rsidRDefault="003010AD">
            <w:pPr>
              <w:rPr>
                <w:szCs w:val="22"/>
              </w:rPr>
            </w:pPr>
          </w:p>
          <w:p w14:paraId="6AD4C1B4" w14:textId="77777777" w:rsidR="00EF4625" w:rsidRDefault="00AE1299">
            <w:pPr>
              <w:rPr>
                <w:szCs w:val="22"/>
              </w:rPr>
            </w:pPr>
            <w:proofErr w:type="gramStart"/>
            <w:r>
              <w:rPr>
                <w:rFonts w:hint="eastAsia"/>
                <w:szCs w:val="22"/>
              </w:rPr>
              <w:t>查上述</w:t>
            </w:r>
            <w:proofErr w:type="gramEnd"/>
            <w:r>
              <w:rPr>
                <w:rFonts w:hint="eastAsia"/>
                <w:szCs w:val="22"/>
              </w:rPr>
              <w:t>表单：</w:t>
            </w:r>
            <w:r>
              <w:rPr>
                <w:rFonts w:hint="eastAsia"/>
                <w:szCs w:val="22"/>
              </w:rPr>
              <w:t xml:space="preserve"> </w:t>
            </w:r>
          </w:p>
          <w:p w14:paraId="7F18129E" w14:textId="77777777" w:rsidR="00EF4625" w:rsidRDefault="00AE1299">
            <w:pPr>
              <w:rPr>
                <w:szCs w:val="22"/>
              </w:rPr>
            </w:pPr>
            <w:r>
              <w:rPr>
                <w:rFonts w:hint="eastAsia"/>
                <w:szCs w:val="22"/>
              </w:rPr>
              <w:t>提升职业健康安全绩效的职业健康安全机遇包括使工作、工作组织和工作环境适合于工作人员的机遇、具体指“工作的计划性、办公现场环境的适应性等均在不断提高中”、降低职业健康安全风险的机遇——采取相关的管理措施杜绝火灾的发生。</w:t>
            </w:r>
            <w:r>
              <w:rPr>
                <w:rFonts w:hint="eastAsia"/>
                <w:szCs w:val="22"/>
              </w:rPr>
              <w:t xml:space="preserve"> </w:t>
            </w:r>
          </w:p>
          <w:p w14:paraId="598F3DE5" w14:textId="77777777" w:rsidR="00EF4625" w:rsidRDefault="00AE1299" w:rsidP="00B82BC7">
            <w:pPr>
              <w:rPr>
                <w:szCs w:val="22"/>
              </w:rPr>
            </w:pPr>
            <w:r>
              <w:rPr>
                <w:rFonts w:hint="eastAsia"/>
                <w:szCs w:val="22"/>
              </w:rPr>
              <w:t>改进职业健康安全管理体系的其他机遇——不断更新适用的法律法规。</w:t>
            </w:r>
            <w:r>
              <w:rPr>
                <w:rFonts w:hint="eastAsia"/>
                <w:szCs w:val="22"/>
              </w:rPr>
              <w:t xml:space="preserve">  </w:t>
            </w:r>
          </w:p>
        </w:tc>
        <w:tc>
          <w:tcPr>
            <w:tcW w:w="1585" w:type="dxa"/>
          </w:tcPr>
          <w:p w14:paraId="674655D4" w14:textId="77777777" w:rsidR="00EF4625" w:rsidRDefault="00EF4625"/>
          <w:p w14:paraId="1057857A" w14:textId="67A4AAB8" w:rsidR="009C2F54" w:rsidRDefault="001A678C" w:rsidP="009C2F54">
            <w:pPr>
              <w:pStyle w:val="a0"/>
            </w:pPr>
            <w:r>
              <w:t>Y</w:t>
            </w:r>
          </w:p>
          <w:p w14:paraId="08A85C89" w14:textId="77777777" w:rsidR="004F3279" w:rsidRDefault="004F3279" w:rsidP="009C2F54">
            <w:pPr>
              <w:pStyle w:val="a0"/>
            </w:pPr>
          </w:p>
          <w:p w14:paraId="3DF2A4A0" w14:textId="77777777" w:rsidR="004F3279" w:rsidRDefault="004F3279" w:rsidP="009C2F54">
            <w:pPr>
              <w:pStyle w:val="a0"/>
            </w:pPr>
          </w:p>
          <w:p w14:paraId="20A25216" w14:textId="77777777" w:rsidR="004F3279" w:rsidRDefault="004F3279" w:rsidP="009C2F54">
            <w:pPr>
              <w:pStyle w:val="a0"/>
            </w:pPr>
          </w:p>
          <w:p w14:paraId="0E33E62B" w14:textId="77777777" w:rsidR="004F3279" w:rsidRDefault="004F3279" w:rsidP="009C2F54">
            <w:pPr>
              <w:pStyle w:val="a0"/>
            </w:pPr>
          </w:p>
          <w:p w14:paraId="7811C0BB" w14:textId="77777777" w:rsidR="004F3279" w:rsidRDefault="004F3279" w:rsidP="009C2F54">
            <w:pPr>
              <w:pStyle w:val="a0"/>
            </w:pPr>
          </w:p>
          <w:p w14:paraId="5C1BC037" w14:textId="77777777" w:rsidR="004F3279" w:rsidRDefault="004F3279" w:rsidP="009C2F54">
            <w:pPr>
              <w:pStyle w:val="a0"/>
            </w:pPr>
          </w:p>
          <w:p w14:paraId="2FA9E89B" w14:textId="77777777" w:rsidR="004F3279" w:rsidRDefault="004F3279" w:rsidP="009C2F54">
            <w:pPr>
              <w:pStyle w:val="a0"/>
            </w:pPr>
          </w:p>
          <w:p w14:paraId="244D47FE" w14:textId="77777777" w:rsidR="004F3279" w:rsidRDefault="004F3279" w:rsidP="009C2F54">
            <w:pPr>
              <w:pStyle w:val="a0"/>
            </w:pPr>
          </w:p>
          <w:p w14:paraId="43CFB244" w14:textId="77777777" w:rsidR="004F3279" w:rsidRDefault="004F3279" w:rsidP="009C2F54">
            <w:pPr>
              <w:pStyle w:val="a0"/>
            </w:pPr>
          </w:p>
          <w:p w14:paraId="11F6B020" w14:textId="77777777" w:rsidR="004F3279" w:rsidRDefault="004F3279" w:rsidP="009C2F54">
            <w:pPr>
              <w:pStyle w:val="a0"/>
            </w:pPr>
          </w:p>
          <w:p w14:paraId="3FCF71CC" w14:textId="77777777" w:rsidR="004F3279" w:rsidRDefault="004F3279" w:rsidP="009C2F54">
            <w:pPr>
              <w:pStyle w:val="a0"/>
            </w:pPr>
          </w:p>
          <w:p w14:paraId="144D8577" w14:textId="77777777" w:rsidR="004F3279" w:rsidRDefault="004F3279" w:rsidP="009C2F54">
            <w:pPr>
              <w:pStyle w:val="a0"/>
            </w:pPr>
          </w:p>
          <w:p w14:paraId="7D05DE59" w14:textId="77777777" w:rsidR="004F3279" w:rsidRDefault="004F3279" w:rsidP="009C2F54">
            <w:pPr>
              <w:pStyle w:val="a0"/>
            </w:pPr>
          </w:p>
          <w:p w14:paraId="652FFE68" w14:textId="43D45CC7" w:rsidR="004F3279" w:rsidRDefault="001A678C" w:rsidP="009C2F54">
            <w:pPr>
              <w:pStyle w:val="a0"/>
            </w:pPr>
            <w:r>
              <w:t>Y</w:t>
            </w:r>
          </w:p>
          <w:p w14:paraId="7D3FC234" w14:textId="77777777" w:rsidR="004F3279" w:rsidRDefault="004F3279" w:rsidP="009C2F54">
            <w:pPr>
              <w:pStyle w:val="a0"/>
            </w:pPr>
          </w:p>
          <w:p w14:paraId="120A50B6" w14:textId="77777777" w:rsidR="004F3279" w:rsidRDefault="004F3279" w:rsidP="009C2F54">
            <w:pPr>
              <w:pStyle w:val="a0"/>
            </w:pPr>
          </w:p>
          <w:p w14:paraId="30C7077F" w14:textId="77777777" w:rsidR="004F3279" w:rsidRDefault="004F3279" w:rsidP="009C2F54">
            <w:pPr>
              <w:pStyle w:val="a0"/>
            </w:pPr>
          </w:p>
          <w:p w14:paraId="5E776183" w14:textId="77777777" w:rsidR="004F3279" w:rsidRDefault="004F3279" w:rsidP="009C2F54">
            <w:pPr>
              <w:pStyle w:val="a0"/>
            </w:pPr>
          </w:p>
          <w:p w14:paraId="24E4B848" w14:textId="77777777" w:rsidR="004F3279" w:rsidRDefault="004F3279" w:rsidP="009C2F54">
            <w:pPr>
              <w:pStyle w:val="a0"/>
            </w:pPr>
          </w:p>
          <w:p w14:paraId="757E65E3" w14:textId="77777777" w:rsidR="004F3279" w:rsidRDefault="004F3279" w:rsidP="009C2F54">
            <w:pPr>
              <w:pStyle w:val="a0"/>
            </w:pPr>
          </w:p>
          <w:p w14:paraId="0D17BD77" w14:textId="77777777" w:rsidR="004F3279" w:rsidRDefault="004F3279" w:rsidP="009C2F54">
            <w:pPr>
              <w:pStyle w:val="a0"/>
            </w:pPr>
          </w:p>
          <w:p w14:paraId="62CC256B" w14:textId="7B023632" w:rsidR="004F3279" w:rsidRPr="009C2F54" w:rsidRDefault="001A678C" w:rsidP="009C2F54">
            <w:pPr>
              <w:pStyle w:val="a0"/>
            </w:pPr>
            <w:r>
              <w:t>Y</w:t>
            </w:r>
          </w:p>
        </w:tc>
      </w:tr>
      <w:tr w:rsidR="00EF4625" w14:paraId="64C8AB7E" w14:textId="77777777">
        <w:trPr>
          <w:trHeight w:val="555"/>
        </w:trPr>
        <w:tc>
          <w:tcPr>
            <w:tcW w:w="2160" w:type="dxa"/>
          </w:tcPr>
          <w:p w14:paraId="22C95EEC" w14:textId="77777777" w:rsidR="00EF4625" w:rsidRDefault="00AE1299">
            <w:pPr>
              <w:rPr>
                <w:szCs w:val="22"/>
              </w:rPr>
            </w:pPr>
            <w:r>
              <w:rPr>
                <w:rFonts w:hint="eastAsia"/>
                <w:szCs w:val="22"/>
              </w:rPr>
              <w:lastRenderedPageBreak/>
              <w:t>合</w:t>
            </w:r>
            <w:proofErr w:type="gramStart"/>
            <w:r>
              <w:rPr>
                <w:rFonts w:hint="eastAsia"/>
                <w:szCs w:val="22"/>
              </w:rPr>
              <w:t>规</w:t>
            </w:r>
            <w:proofErr w:type="gramEnd"/>
            <w:r>
              <w:rPr>
                <w:rFonts w:hint="eastAsia"/>
                <w:szCs w:val="22"/>
              </w:rPr>
              <w:t>义务</w:t>
            </w:r>
          </w:p>
          <w:p w14:paraId="224B3AE2" w14:textId="77777777" w:rsidR="00EF4625" w:rsidRDefault="00AE1299">
            <w:pPr>
              <w:rPr>
                <w:szCs w:val="22"/>
              </w:rPr>
            </w:pPr>
            <w:r>
              <w:rPr>
                <w:rFonts w:hint="eastAsia"/>
                <w:szCs w:val="22"/>
              </w:rPr>
              <w:t>法律法规要求和其他要求的确定</w:t>
            </w:r>
          </w:p>
          <w:p w14:paraId="3B1EBDF4" w14:textId="77777777" w:rsidR="00EF4625" w:rsidRDefault="00EF4625">
            <w:pPr>
              <w:rPr>
                <w:szCs w:val="22"/>
              </w:rPr>
            </w:pPr>
          </w:p>
          <w:p w14:paraId="256A08EB" w14:textId="77777777" w:rsidR="00EF4625" w:rsidRDefault="00EF4625">
            <w:pPr>
              <w:rPr>
                <w:szCs w:val="22"/>
              </w:rPr>
            </w:pPr>
          </w:p>
          <w:p w14:paraId="6FE4D996" w14:textId="77777777" w:rsidR="00EF4625" w:rsidRDefault="00EF4625">
            <w:pPr>
              <w:rPr>
                <w:szCs w:val="22"/>
              </w:rPr>
            </w:pPr>
          </w:p>
          <w:p w14:paraId="397C54DE" w14:textId="77777777" w:rsidR="00EF4625" w:rsidRDefault="00EF4625">
            <w:pPr>
              <w:rPr>
                <w:szCs w:val="22"/>
              </w:rPr>
            </w:pPr>
          </w:p>
          <w:p w14:paraId="71D08869" w14:textId="77777777" w:rsidR="00EF4625" w:rsidRDefault="00EF4625">
            <w:pPr>
              <w:rPr>
                <w:szCs w:val="22"/>
              </w:rPr>
            </w:pPr>
          </w:p>
          <w:p w14:paraId="680E1416" w14:textId="77777777" w:rsidR="00EF4625" w:rsidRDefault="00EF4625">
            <w:pPr>
              <w:rPr>
                <w:szCs w:val="22"/>
              </w:rPr>
            </w:pPr>
          </w:p>
          <w:p w14:paraId="7F257837" w14:textId="77777777" w:rsidR="00AD4C87" w:rsidRDefault="00AD4C87">
            <w:pPr>
              <w:rPr>
                <w:szCs w:val="22"/>
              </w:rPr>
            </w:pPr>
          </w:p>
          <w:p w14:paraId="5B81C938" w14:textId="77777777" w:rsidR="00AD4C87" w:rsidRDefault="00AD4C87">
            <w:pPr>
              <w:rPr>
                <w:szCs w:val="22"/>
              </w:rPr>
            </w:pPr>
          </w:p>
          <w:p w14:paraId="1D115146" w14:textId="77777777" w:rsidR="00EF4625" w:rsidRDefault="00AE1299">
            <w:pPr>
              <w:rPr>
                <w:szCs w:val="22"/>
              </w:rPr>
            </w:pPr>
            <w:r>
              <w:rPr>
                <w:rFonts w:hint="eastAsia"/>
                <w:szCs w:val="22"/>
              </w:rPr>
              <w:t>合</w:t>
            </w:r>
            <w:proofErr w:type="gramStart"/>
            <w:r>
              <w:rPr>
                <w:rFonts w:hint="eastAsia"/>
                <w:szCs w:val="22"/>
              </w:rPr>
              <w:t>规</w:t>
            </w:r>
            <w:proofErr w:type="gramEnd"/>
            <w:r>
              <w:rPr>
                <w:rFonts w:hint="eastAsia"/>
                <w:szCs w:val="22"/>
              </w:rPr>
              <w:t>性评价</w:t>
            </w:r>
          </w:p>
        </w:tc>
        <w:tc>
          <w:tcPr>
            <w:tcW w:w="960" w:type="dxa"/>
          </w:tcPr>
          <w:p w14:paraId="3C679B6F" w14:textId="77777777" w:rsidR="00EF4625" w:rsidRDefault="00AE1299">
            <w:pPr>
              <w:rPr>
                <w:szCs w:val="22"/>
              </w:rPr>
            </w:pPr>
            <w:r>
              <w:rPr>
                <w:rFonts w:hint="eastAsia"/>
                <w:szCs w:val="22"/>
              </w:rPr>
              <w:t>6.1.3</w:t>
            </w:r>
          </w:p>
          <w:p w14:paraId="6DC2C338" w14:textId="77777777" w:rsidR="00EF4625" w:rsidRDefault="00AE1299">
            <w:pPr>
              <w:rPr>
                <w:szCs w:val="22"/>
              </w:rPr>
            </w:pPr>
            <w:r>
              <w:rPr>
                <w:rFonts w:hint="eastAsia"/>
                <w:szCs w:val="22"/>
              </w:rPr>
              <w:t xml:space="preserve">6.1.3 </w:t>
            </w:r>
          </w:p>
          <w:p w14:paraId="63C829A3" w14:textId="77777777" w:rsidR="00EF4625" w:rsidRDefault="00EF4625">
            <w:pPr>
              <w:rPr>
                <w:szCs w:val="22"/>
              </w:rPr>
            </w:pPr>
          </w:p>
          <w:p w14:paraId="10F23A71" w14:textId="77777777" w:rsidR="00EF4625" w:rsidRDefault="00EF4625">
            <w:pPr>
              <w:rPr>
                <w:szCs w:val="22"/>
              </w:rPr>
            </w:pPr>
          </w:p>
          <w:p w14:paraId="37B8CDEE" w14:textId="77777777" w:rsidR="00EF4625" w:rsidRDefault="00EF4625">
            <w:pPr>
              <w:rPr>
                <w:szCs w:val="22"/>
              </w:rPr>
            </w:pPr>
          </w:p>
          <w:p w14:paraId="47C0E4E0" w14:textId="77777777" w:rsidR="00EF4625" w:rsidRDefault="00EF4625">
            <w:pPr>
              <w:rPr>
                <w:szCs w:val="22"/>
              </w:rPr>
            </w:pPr>
          </w:p>
          <w:p w14:paraId="4E192ECE" w14:textId="77777777" w:rsidR="00EF4625" w:rsidRDefault="00EF4625">
            <w:pPr>
              <w:rPr>
                <w:szCs w:val="22"/>
              </w:rPr>
            </w:pPr>
          </w:p>
          <w:p w14:paraId="37256EFA" w14:textId="77777777" w:rsidR="00EF4625" w:rsidRDefault="00EF4625">
            <w:pPr>
              <w:rPr>
                <w:szCs w:val="22"/>
              </w:rPr>
            </w:pPr>
          </w:p>
          <w:p w14:paraId="321F3401" w14:textId="77777777" w:rsidR="00EF4625" w:rsidRDefault="00EF4625">
            <w:pPr>
              <w:rPr>
                <w:szCs w:val="22"/>
              </w:rPr>
            </w:pPr>
          </w:p>
          <w:p w14:paraId="721AD344" w14:textId="77777777" w:rsidR="00AD4C87" w:rsidRDefault="00AD4C87">
            <w:pPr>
              <w:rPr>
                <w:szCs w:val="22"/>
              </w:rPr>
            </w:pPr>
          </w:p>
          <w:p w14:paraId="0A27CDCB" w14:textId="77777777" w:rsidR="00AD4C87" w:rsidRDefault="00AD4C87">
            <w:pPr>
              <w:rPr>
                <w:szCs w:val="22"/>
              </w:rPr>
            </w:pPr>
          </w:p>
          <w:p w14:paraId="340EA26A" w14:textId="77777777" w:rsidR="00EF4625" w:rsidRDefault="00AE1299">
            <w:pPr>
              <w:rPr>
                <w:szCs w:val="22"/>
              </w:rPr>
            </w:pPr>
            <w:r>
              <w:rPr>
                <w:rFonts w:hint="eastAsia"/>
                <w:szCs w:val="22"/>
              </w:rPr>
              <w:t>9.1.2</w:t>
            </w:r>
          </w:p>
          <w:p w14:paraId="307982CB" w14:textId="77777777" w:rsidR="00EF4625" w:rsidRDefault="00EF4625">
            <w:pPr>
              <w:rPr>
                <w:szCs w:val="22"/>
              </w:rPr>
            </w:pPr>
          </w:p>
        </w:tc>
        <w:tc>
          <w:tcPr>
            <w:tcW w:w="10004" w:type="dxa"/>
          </w:tcPr>
          <w:p w14:paraId="409B67C2" w14:textId="77777777" w:rsidR="0086220B" w:rsidRPr="00961060" w:rsidRDefault="00AE1299" w:rsidP="0086220B">
            <w:pPr>
              <w:autoSpaceDE w:val="0"/>
              <w:autoSpaceDN w:val="0"/>
              <w:adjustRightInd w:val="0"/>
              <w:spacing w:after="100" w:line="460" w:lineRule="exact"/>
              <w:rPr>
                <w:szCs w:val="21"/>
              </w:rPr>
            </w:pPr>
            <w:r>
              <w:rPr>
                <w:rFonts w:hint="eastAsia"/>
                <w:szCs w:val="22"/>
              </w:rPr>
              <w:t>编制和提供了</w:t>
            </w:r>
            <w:r w:rsidR="0086220B" w:rsidRPr="00961060">
              <w:rPr>
                <w:rFonts w:hint="eastAsia"/>
                <w:szCs w:val="21"/>
              </w:rPr>
              <w:t>编制了《</w:t>
            </w:r>
            <w:r w:rsidR="0086220B">
              <w:rPr>
                <w:rFonts w:hint="eastAsia"/>
                <w:szCs w:val="21"/>
              </w:rPr>
              <w:t>法律法规和其它要求控制程序</w:t>
            </w:r>
            <w:r w:rsidR="0086220B" w:rsidRPr="00961060">
              <w:rPr>
                <w:rFonts w:ascii="华文中宋" w:eastAsia="华文中宋" w:hAnsi="华文中宋" w:cs="宋体" w:hint="eastAsia"/>
                <w:color w:val="000000"/>
                <w:szCs w:val="21"/>
              </w:rPr>
              <w:t>》</w:t>
            </w:r>
            <w:r w:rsidR="0086220B" w:rsidRPr="00961060">
              <w:rPr>
                <w:rFonts w:hint="eastAsia"/>
                <w:szCs w:val="21"/>
              </w:rPr>
              <w:t>、《合规性评价控制程序》，符合标准要求。</w:t>
            </w:r>
          </w:p>
          <w:p w14:paraId="24E8584B" w14:textId="77777777" w:rsidR="0086220B" w:rsidRDefault="0086220B" w:rsidP="0086220B">
            <w:pPr>
              <w:pStyle w:val="a0"/>
              <w:rPr>
                <w:bCs w:val="0"/>
              </w:rPr>
            </w:pPr>
            <w:r>
              <w:rPr>
                <w:rFonts w:hint="eastAsia"/>
                <w:bCs w:val="0"/>
              </w:rPr>
              <w:t>提供</w:t>
            </w:r>
            <w:r w:rsidRPr="00961060">
              <w:rPr>
                <w:rFonts w:hint="eastAsia"/>
                <w:bCs w:val="0"/>
              </w:rPr>
              <w:t>《安全法律法规清单》</w:t>
            </w:r>
            <w:r w:rsidR="00AD4C87">
              <w:rPr>
                <w:bCs w:val="0"/>
              </w:rPr>
              <w:t xml:space="preserve"> </w:t>
            </w:r>
          </w:p>
          <w:p w14:paraId="008FEE6C" w14:textId="77777777" w:rsidR="00EF4625" w:rsidRDefault="00AE1299">
            <w:pPr>
              <w:rPr>
                <w:szCs w:val="22"/>
              </w:rPr>
            </w:pPr>
            <w:r>
              <w:rPr>
                <w:rFonts w:hint="eastAsia"/>
                <w:szCs w:val="22"/>
              </w:rPr>
              <w:t>包括法律法规名称、版本文号年号、相关条款号、适用部门、控制措施等内容；</w:t>
            </w:r>
          </w:p>
          <w:p w14:paraId="2CBA490D" w14:textId="77777777" w:rsidR="00EF4625" w:rsidRDefault="0086220B">
            <w:pPr>
              <w:rPr>
                <w:szCs w:val="22"/>
              </w:rPr>
            </w:pPr>
            <w:r>
              <w:rPr>
                <w:rFonts w:hint="eastAsia"/>
                <w:szCs w:val="22"/>
              </w:rPr>
              <w:t>其中识别了国家及地方法律法规</w:t>
            </w:r>
            <w:r w:rsidR="00AE1299">
              <w:rPr>
                <w:rFonts w:hint="eastAsia"/>
                <w:szCs w:val="22"/>
              </w:rPr>
              <w:t>；抽查若干条：</w:t>
            </w:r>
            <w:r w:rsidR="00E1104D">
              <w:rPr>
                <w:rFonts w:hint="eastAsia"/>
                <w:szCs w:val="22"/>
              </w:rPr>
              <w:t>《</w:t>
            </w:r>
            <w:r w:rsidR="00E1104D">
              <w:rPr>
                <w:rFonts w:ascii="宋体" w:hAnsi="宋体" w:cs="宋体" w:hint="eastAsia"/>
                <w:color w:val="000000"/>
                <w:szCs w:val="21"/>
                <w:shd w:val="clear" w:color="auto" w:fill="FFFFFF"/>
              </w:rPr>
              <w:t>中华人民共和国未成年人保护法</w:t>
            </w:r>
            <w:r w:rsidR="00E1104D">
              <w:rPr>
                <w:rFonts w:hint="eastAsia"/>
                <w:szCs w:val="22"/>
              </w:rPr>
              <w:t>》</w:t>
            </w:r>
            <w:r w:rsidR="00AE1299">
              <w:rPr>
                <w:rFonts w:hint="eastAsia"/>
                <w:szCs w:val="22"/>
              </w:rPr>
              <w:t>（</w:t>
            </w:r>
            <w:r w:rsidR="00E1104D">
              <w:rPr>
                <w:rFonts w:hint="eastAsia"/>
                <w:szCs w:val="22"/>
              </w:rPr>
              <w:t>2021-6-1.</w:t>
            </w:r>
            <w:r w:rsidR="00AE1299">
              <w:rPr>
                <w:rFonts w:hint="eastAsia"/>
                <w:szCs w:val="22"/>
              </w:rPr>
              <w:t>）、《</w:t>
            </w:r>
            <w:r w:rsidR="00AD4C87">
              <w:rPr>
                <w:rFonts w:ascii="宋体" w:hAnsi="宋体" w:cs="宋体"/>
                <w:color w:val="000000"/>
                <w:kern w:val="0"/>
                <w:sz w:val="22"/>
                <w:szCs w:val="22"/>
              </w:rPr>
              <w:t>北京市消防条例</w:t>
            </w:r>
            <w:r w:rsidR="00AE1299">
              <w:rPr>
                <w:rFonts w:hint="eastAsia"/>
                <w:szCs w:val="22"/>
              </w:rPr>
              <w:t>》（</w:t>
            </w:r>
            <w:r w:rsidR="00AD4C87">
              <w:rPr>
                <w:rFonts w:hint="eastAsia"/>
                <w:szCs w:val="22"/>
              </w:rPr>
              <w:t>2016-9-</w:t>
            </w:r>
            <w:r w:rsidR="00AE1299">
              <w:rPr>
                <w:rFonts w:hint="eastAsia"/>
                <w:szCs w:val="22"/>
              </w:rPr>
              <w:t>1</w:t>
            </w:r>
            <w:r w:rsidR="00AE1299">
              <w:rPr>
                <w:rFonts w:hint="eastAsia"/>
                <w:szCs w:val="22"/>
              </w:rPr>
              <w:t>）、</w:t>
            </w:r>
            <w:r w:rsidR="00AE1299" w:rsidRPr="00AD4C87">
              <w:rPr>
                <w:rFonts w:hint="eastAsia"/>
                <w:szCs w:val="22"/>
              </w:rPr>
              <w:t>《</w:t>
            </w:r>
            <w:r w:rsidR="00AD4C87" w:rsidRPr="00AD4C87">
              <w:rPr>
                <w:rFonts w:ascii="Arial" w:hAnsi="Arial" w:cs="Arial" w:hint="eastAsia"/>
                <w:szCs w:val="21"/>
                <w:shd w:val="clear" w:color="auto" w:fill="FFFFFF"/>
              </w:rPr>
              <w:t>北京市人民政府关于进一步明确责任加强新型冠状病毒感染的肺炎预防控制工作的通知</w:t>
            </w:r>
            <w:r w:rsidR="00AE1299" w:rsidRPr="00AD4C87">
              <w:rPr>
                <w:rFonts w:hint="eastAsia"/>
                <w:szCs w:val="22"/>
              </w:rPr>
              <w:t>》</w:t>
            </w:r>
            <w:r w:rsidR="00AE1299">
              <w:rPr>
                <w:rFonts w:hint="eastAsia"/>
                <w:szCs w:val="22"/>
              </w:rPr>
              <w:t>（</w:t>
            </w:r>
            <w:r w:rsidR="00AD4C87">
              <w:rPr>
                <w:rFonts w:hint="eastAsia"/>
                <w:szCs w:val="22"/>
              </w:rPr>
              <w:t>2020.1.28</w:t>
            </w:r>
            <w:r w:rsidR="00AE1299">
              <w:rPr>
                <w:rFonts w:hint="eastAsia"/>
                <w:szCs w:val="22"/>
              </w:rPr>
              <w:t>）、——</w:t>
            </w:r>
            <w:r w:rsidR="00AE1299">
              <w:rPr>
                <w:rFonts w:hint="eastAsia"/>
                <w:szCs w:val="22"/>
              </w:rPr>
              <w:t xml:space="preserve"> </w:t>
            </w:r>
            <w:r w:rsidR="00AE1299">
              <w:rPr>
                <w:rFonts w:hint="eastAsia"/>
                <w:szCs w:val="22"/>
              </w:rPr>
              <w:t>适用于组织的危险源、职业健康安全风险和职业健康安全管理体系的法律法规要求和其他要求；</w:t>
            </w:r>
          </w:p>
          <w:p w14:paraId="01914AD3" w14:textId="77777777" w:rsidR="00EF4625" w:rsidRDefault="00AE1299">
            <w:pPr>
              <w:rPr>
                <w:szCs w:val="22"/>
              </w:rPr>
            </w:pPr>
            <w:proofErr w:type="gramStart"/>
            <w:r>
              <w:rPr>
                <w:rFonts w:hint="eastAsia"/>
                <w:szCs w:val="22"/>
              </w:rPr>
              <w:t>另法律</w:t>
            </w:r>
            <w:proofErr w:type="gramEnd"/>
            <w:r>
              <w:rPr>
                <w:rFonts w:hint="eastAsia"/>
                <w:szCs w:val="22"/>
              </w:rPr>
              <w:t>法规来源于网络查询、更新周期为一年、文件有编审批更新日期</w:t>
            </w:r>
            <w:r w:rsidR="00AD4C87">
              <w:rPr>
                <w:rFonts w:hint="eastAsia"/>
                <w:szCs w:val="22"/>
              </w:rPr>
              <w:t>2021.8.30</w:t>
            </w:r>
            <w:r>
              <w:rPr>
                <w:rFonts w:hint="eastAsia"/>
                <w:szCs w:val="22"/>
              </w:rPr>
              <w:t>.</w:t>
            </w:r>
            <w:r>
              <w:rPr>
                <w:rFonts w:hint="eastAsia"/>
                <w:szCs w:val="22"/>
              </w:rPr>
              <w:t>；</w:t>
            </w:r>
          </w:p>
          <w:p w14:paraId="3DF02A20" w14:textId="77777777" w:rsidR="00EF4625" w:rsidRDefault="00AE1299">
            <w:pPr>
              <w:rPr>
                <w:szCs w:val="22"/>
              </w:rPr>
            </w:pPr>
            <w:r>
              <w:rPr>
                <w:rFonts w:hint="eastAsia"/>
                <w:szCs w:val="22"/>
              </w:rPr>
              <w:t>结合</w:t>
            </w:r>
            <w:r>
              <w:rPr>
                <w:rFonts w:hint="eastAsia"/>
                <w:szCs w:val="22"/>
              </w:rPr>
              <w:t>6.1</w:t>
            </w:r>
            <w:r>
              <w:rPr>
                <w:rFonts w:hint="eastAsia"/>
                <w:szCs w:val="22"/>
              </w:rPr>
              <w:t>条款审核发现、给组织带来风险和机遇中包含以上合</w:t>
            </w:r>
            <w:proofErr w:type="gramStart"/>
            <w:r>
              <w:rPr>
                <w:rFonts w:hint="eastAsia"/>
                <w:szCs w:val="22"/>
              </w:rPr>
              <w:t>规</w:t>
            </w:r>
            <w:proofErr w:type="gramEnd"/>
            <w:r>
              <w:rPr>
                <w:rFonts w:hint="eastAsia"/>
                <w:szCs w:val="22"/>
              </w:rPr>
              <w:t>义务的相关内容——基本符合规定；</w:t>
            </w:r>
          </w:p>
          <w:p w14:paraId="418CE8ED" w14:textId="77777777" w:rsidR="00EF4625" w:rsidRDefault="00EF4625">
            <w:pPr>
              <w:rPr>
                <w:szCs w:val="22"/>
              </w:rPr>
            </w:pPr>
          </w:p>
          <w:p w14:paraId="55D0AAE2" w14:textId="77777777" w:rsidR="00DE79A0" w:rsidRPr="00DE79A0" w:rsidRDefault="00AE1299" w:rsidP="00DE79A0">
            <w:pPr>
              <w:rPr>
                <w:szCs w:val="22"/>
              </w:rPr>
            </w:pPr>
            <w:r>
              <w:rPr>
                <w:rFonts w:hint="eastAsia"/>
                <w:szCs w:val="22"/>
              </w:rPr>
              <w:t>提供了</w:t>
            </w:r>
            <w:r w:rsidR="00AD4C87" w:rsidRPr="00961060">
              <w:rPr>
                <w:rFonts w:hint="eastAsia"/>
              </w:rPr>
              <w:t>《安全法律法规合规性评价报告》</w:t>
            </w:r>
            <w:r>
              <w:rPr>
                <w:rFonts w:hint="eastAsia"/>
                <w:szCs w:val="22"/>
              </w:rPr>
              <w:t>对上述识别的法律法规进行了合</w:t>
            </w:r>
            <w:proofErr w:type="gramStart"/>
            <w:r>
              <w:rPr>
                <w:rFonts w:hint="eastAsia"/>
                <w:szCs w:val="22"/>
              </w:rPr>
              <w:t>规</w:t>
            </w:r>
            <w:proofErr w:type="gramEnd"/>
            <w:r>
              <w:rPr>
                <w:rFonts w:hint="eastAsia"/>
                <w:szCs w:val="22"/>
              </w:rPr>
              <w:t>性逐条评价、有“执行情况评价”的信息、包括是否执行、未执行原因、实施结果、证明文件和资料等内容，查已经全部实施了评价、评价结论“合规”；评价人</w:t>
            </w:r>
            <w:proofErr w:type="gramStart"/>
            <w:r w:rsidR="009202FB">
              <w:rPr>
                <w:rFonts w:ascii="Arial" w:hAnsi="Arial" w:cs="Arial" w:hint="eastAsia"/>
                <w:color w:val="000000"/>
                <w:kern w:val="0"/>
                <w:szCs w:val="21"/>
              </w:rPr>
              <w:t>方荣丽</w:t>
            </w:r>
            <w:proofErr w:type="gramEnd"/>
            <w:r>
              <w:rPr>
                <w:rFonts w:ascii="宋体" w:hAnsi="宋体" w:cs="宋体" w:hint="eastAsia"/>
                <w:kern w:val="0"/>
                <w:sz w:val="22"/>
                <w:szCs w:val="22"/>
              </w:rPr>
              <w:t xml:space="preserve"> </w:t>
            </w:r>
            <w:r>
              <w:rPr>
                <w:rFonts w:hint="eastAsia"/>
                <w:sz w:val="24"/>
              </w:rPr>
              <w:t xml:space="preserve"> </w:t>
            </w:r>
            <w:r>
              <w:rPr>
                <w:rFonts w:hint="eastAsia"/>
                <w:szCs w:val="22"/>
              </w:rPr>
              <w:t>等、确认日期</w:t>
            </w:r>
            <w:r w:rsidR="009202FB">
              <w:rPr>
                <w:rFonts w:hint="eastAsia"/>
                <w:szCs w:val="22"/>
              </w:rPr>
              <w:t>2021.6.30</w:t>
            </w:r>
            <w:r>
              <w:rPr>
                <w:rFonts w:hint="eastAsia"/>
                <w:szCs w:val="22"/>
              </w:rPr>
              <w:t>.</w:t>
            </w:r>
            <w:r>
              <w:rPr>
                <w:rFonts w:hint="eastAsia"/>
                <w:szCs w:val="22"/>
              </w:rPr>
              <w:t>；</w:t>
            </w:r>
          </w:p>
        </w:tc>
        <w:tc>
          <w:tcPr>
            <w:tcW w:w="1585" w:type="dxa"/>
          </w:tcPr>
          <w:p w14:paraId="41387153" w14:textId="7B6564B4" w:rsidR="00EF4625" w:rsidRDefault="001A678C">
            <w:r>
              <w:t>Y</w:t>
            </w:r>
          </w:p>
          <w:p w14:paraId="2D605319" w14:textId="77777777" w:rsidR="004F3279" w:rsidRDefault="004F3279" w:rsidP="004F3279">
            <w:pPr>
              <w:pStyle w:val="a0"/>
            </w:pPr>
          </w:p>
          <w:p w14:paraId="6360A6AB" w14:textId="77777777" w:rsidR="004F3279" w:rsidRDefault="004F3279" w:rsidP="004F3279">
            <w:pPr>
              <w:pStyle w:val="a0"/>
            </w:pPr>
          </w:p>
          <w:p w14:paraId="0DE6DDFE" w14:textId="77777777" w:rsidR="004F3279" w:rsidRDefault="004F3279" w:rsidP="004F3279">
            <w:pPr>
              <w:pStyle w:val="a0"/>
            </w:pPr>
          </w:p>
          <w:p w14:paraId="6CDF1404" w14:textId="77777777" w:rsidR="004F3279" w:rsidRDefault="004F3279" w:rsidP="004F3279">
            <w:pPr>
              <w:pStyle w:val="a0"/>
            </w:pPr>
          </w:p>
          <w:p w14:paraId="450FC6E1" w14:textId="77777777" w:rsidR="004F3279" w:rsidRDefault="004F3279" w:rsidP="004F3279">
            <w:pPr>
              <w:pStyle w:val="a0"/>
            </w:pPr>
          </w:p>
          <w:p w14:paraId="094D6F19" w14:textId="77777777" w:rsidR="004F3279" w:rsidRDefault="004F3279" w:rsidP="004F3279">
            <w:pPr>
              <w:pStyle w:val="a0"/>
            </w:pPr>
          </w:p>
          <w:p w14:paraId="7AABBEE3" w14:textId="77777777" w:rsidR="004F3279" w:rsidRDefault="004F3279" w:rsidP="004F3279">
            <w:pPr>
              <w:pStyle w:val="a0"/>
            </w:pPr>
          </w:p>
          <w:p w14:paraId="29C6FC22" w14:textId="77777777" w:rsidR="004F3279" w:rsidRDefault="004F3279" w:rsidP="004F3279">
            <w:pPr>
              <w:pStyle w:val="a0"/>
            </w:pPr>
          </w:p>
          <w:p w14:paraId="51C36CF5" w14:textId="77777777" w:rsidR="004F3279" w:rsidRDefault="004F3279" w:rsidP="004F3279">
            <w:pPr>
              <w:pStyle w:val="a0"/>
            </w:pPr>
          </w:p>
          <w:p w14:paraId="5137CD38" w14:textId="41D4E8F8" w:rsidR="004F3279" w:rsidRPr="004F3279" w:rsidRDefault="001A678C" w:rsidP="004F3279">
            <w:pPr>
              <w:pStyle w:val="a0"/>
            </w:pPr>
            <w:r>
              <w:t>Y</w:t>
            </w:r>
          </w:p>
        </w:tc>
      </w:tr>
      <w:tr w:rsidR="00EF4625" w14:paraId="79B8C58B" w14:textId="77777777">
        <w:trPr>
          <w:trHeight w:val="2110"/>
        </w:trPr>
        <w:tc>
          <w:tcPr>
            <w:tcW w:w="2160" w:type="dxa"/>
          </w:tcPr>
          <w:p w14:paraId="0167EBED" w14:textId="77777777" w:rsidR="00EF4625" w:rsidRDefault="00AE1299">
            <w:pPr>
              <w:rPr>
                <w:szCs w:val="22"/>
                <w:lang w:val="en-GB"/>
              </w:rPr>
            </w:pPr>
            <w:r>
              <w:rPr>
                <w:rFonts w:hint="eastAsia"/>
                <w:szCs w:val="22"/>
                <w:lang w:val="en-GB"/>
              </w:rPr>
              <w:lastRenderedPageBreak/>
              <w:t>职业健康安全目标</w:t>
            </w:r>
          </w:p>
          <w:p w14:paraId="0AD28CD6" w14:textId="77777777" w:rsidR="00EF4625" w:rsidRDefault="00AE1299">
            <w:pPr>
              <w:rPr>
                <w:szCs w:val="22"/>
              </w:rPr>
            </w:pPr>
            <w:r>
              <w:rPr>
                <w:rFonts w:hint="eastAsia"/>
                <w:szCs w:val="22"/>
                <w:lang w:val="en-GB"/>
              </w:rPr>
              <w:t>实现职业健康安全目标的策划</w:t>
            </w:r>
          </w:p>
        </w:tc>
        <w:tc>
          <w:tcPr>
            <w:tcW w:w="960" w:type="dxa"/>
          </w:tcPr>
          <w:p w14:paraId="4A71A7E3" w14:textId="77777777" w:rsidR="00EF4625" w:rsidRDefault="00AE1299">
            <w:pPr>
              <w:rPr>
                <w:szCs w:val="22"/>
              </w:rPr>
            </w:pPr>
            <w:r>
              <w:rPr>
                <w:rFonts w:hint="eastAsia"/>
                <w:szCs w:val="22"/>
              </w:rPr>
              <w:t>6.2.1</w:t>
            </w:r>
          </w:p>
          <w:p w14:paraId="05429303" w14:textId="77777777" w:rsidR="00EF4625" w:rsidRDefault="00AE1299">
            <w:pPr>
              <w:rPr>
                <w:szCs w:val="22"/>
              </w:rPr>
            </w:pPr>
            <w:r>
              <w:rPr>
                <w:rFonts w:hint="eastAsia"/>
                <w:szCs w:val="22"/>
              </w:rPr>
              <w:t xml:space="preserve"> </w:t>
            </w:r>
          </w:p>
          <w:p w14:paraId="660E864C" w14:textId="77777777" w:rsidR="00EF4625" w:rsidRDefault="00AE1299">
            <w:pPr>
              <w:rPr>
                <w:szCs w:val="22"/>
                <w:lang w:val="en-GB"/>
              </w:rPr>
            </w:pPr>
            <w:r>
              <w:rPr>
                <w:rFonts w:hint="eastAsia"/>
                <w:szCs w:val="22"/>
                <w:lang w:val="en-GB"/>
              </w:rPr>
              <w:t>6.2.1</w:t>
            </w:r>
          </w:p>
          <w:p w14:paraId="5642F1E4" w14:textId="77777777" w:rsidR="00EF4625" w:rsidRDefault="00AE1299">
            <w:pPr>
              <w:rPr>
                <w:szCs w:val="22"/>
                <w:lang w:val="en-GB"/>
              </w:rPr>
            </w:pPr>
            <w:r>
              <w:rPr>
                <w:rFonts w:hint="eastAsia"/>
                <w:szCs w:val="22"/>
                <w:lang w:val="en-GB"/>
              </w:rPr>
              <w:t xml:space="preserve">6.2.2 </w:t>
            </w:r>
          </w:p>
          <w:p w14:paraId="6146A153" w14:textId="77777777" w:rsidR="00EF4625" w:rsidRDefault="00EF4625">
            <w:pPr>
              <w:rPr>
                <w:szCs w:val="22"/>
              </w:rPr>
            </w:pPr>
          </w:p>
        </w:tc>
        <w:tc>
          <w:tcPr>
            <w:tcW w:w="10004" w:type="dxa"/>
          </w:tcPr>
          <w:p w14:paraId="6DA7E3C3" w14:textId="77777777" w:rsidR="00AC5BBE" w:rsidRDefault="00AC5BBE" w:rsidP="00AC5BBE">
            <w:pPr>
              <w:spacing w:line="300" w:lineRule="auto"/>
              <w:rPr>
                <w:szCs w:val="22"/>
              </w:rPr>
            </w:pPr>
            <w:r>
              <w:rPr>
                <w:rFonts w:hint="eastAsia"/>
              </w:rPr>
              <w:t>根据职业健康安全目标指标，组织建立了目标及措施，内容包括方法措施、执行部门、负责人、启始日期等。</w:t>
            </w:r>
          </w:p>
          <w:p w14:paraId="5CD99E48" w14:textId="77777777" w:rsidR="00C27926" w:rsidRDefault="00C27926" w:rsidP="00C27926">
            <w:r>
              <w:rPr>
                <w:rFonts w:hint="eastAsia"/>
              </w:rPr>
              <w:t>编写了《职业健康安全管理方案》</w:t>
            </w:r>
          </w:p>
          <w:p w14:paraId="239A2678" w14:textId="77777777" w:rsidR="00C27926" w:rsidRDefault="00C27926" w:rsidP="00C27926">
            <w:r>
              <w:rPr>
                <w:rFonts w:hint="eastAsia"/>
              </w:rPr>
              <w:t>提供了《职业健康安全目标和管理方案一览表》《目标达成统计表》</w:t>
            </w:r>
          </w:p>
          <w:p w14:paraId="6BC29C2A" w14:textId="77777777" w:rsidR="00AC5BBE" w:rsidRPr="00AC5BBE" w:rsidRDefault="00AC5BBE" w:rsidP="00AC5BBE">
            <w:pPr>
              <w:pStyle w:val="a0"/>
            </w:pPr>
            <w:r>
              <w:rPr>
                <w:rFonts w:hint="eastAsia"/>
              </w:rPr>
              <w:t>具体如下：</w:t>
            </w:r>
          </w:p>
          <w:p w14:paraId="23EDD78B" w14:textId="77777777" w:rsidR="00C27926" w:rsidRPr="007A0108" w:rsidRDefault="00C27926" w:rsidP="00C27926">
            <w:r>
              <w:rPr>
                <w:rFonts w:hint="eastAsia"/>
              </w:rPr>
              <w:t>职业健康安全目标：</w:t>
            </w:r>
            <w:r>
              <w:rPr>
                <w:rFonts w:hint="eastAsia"/>
              </w:rPr>
              <w:t>1</w:t>
            </w:r>
            <w:r>
              <w:rPr>
                <w:rFonts w:hint="eastAsia"/>
              </w:rPr>
              <w:t>）各类重伤以上事故发生率为零；</w:t>
            </w:r>
            <w:r>
              <w:rPr>
                <w:rFonts w:hint="eastAsia"/>
              </w:rPr>
              <w:t xml:space="preserve"> </w:t>
            </w:r>
          </w:p>
          <w:p w14:paraId="7672B2B4" w14:textId="77777777" w:rsidR="00C27926" w:rsidRPr="00C27926" w:rsidRDefault="00C27926" w:rsidP="00C27926">
            <w:pPr>
              <w:pStyle w:val="ad"/>
              <w:numPr>
                <w:ilvl w:val="0"/>
                <w:numId w:val="5"/>
              </w:numPr>
              <w:ind w:firstLineChars="0"/>
              <w:jc w:val="left"/>
            </w:pPr>
            <w:r>
              <w:rPr>
                <w:rFonts w:hint="eastAsia"/>
              </w:rPr>
              <w:t>火灾事故发生率为零。</w:t>
            </w:r>
          </w:p>
          <w:p w14:paraId="293EA0F9" w14:textId="77777777" w:rsidR="00C27926" w:rsidRDefault="00C27926" w:rsidP="00C27926">
            <w:r>
              <w:rPr>
                <w:rFonts w:hint="eastAsia"/>
              </w:rPr>
              <w:t>目标：触电伤人事故为</w:t>
            </w:r>
            <w:r>
              <w:rPr>
                <w:rFonts w:hint="eastAsia"/>
              </w:rPr>
              <w:t>0</w:t>
            </w:r>
          </w:p>
          <w:p w14:paraId="62B2346A" w14:textId="77777777" w:rsidR="00AB5E74" w:rsidRDefault="00C27926" w:rsidP="00C27926">
            <w:pPr>
              <w:widowControl/>
            </w:pPr>
            <w:r>
              <w:rPr>
                <w:rFonts w:hint="eastAsia"/>
              </w:rPr>
              <w:t>管理方案：</w:t>
            </w:r>
          </w:p>
          <w:p w14:paraId="6991BD0B" w14:textId="77777777" w:rsidR="00C27926" w:rsidRPr="00AB5E74" w:rsidRDefault="00C27926" w:rsidP="00C27926">
            <w:pPr>
              <w:widowControl/>
            </w:pPr>
            <w:r w:rsidRPr="00AB5E74">
              <w:rPr>
                <w:rFonts w:hint="eastAsia"/>
              </w:rPr>
              <w:t>1</w:t>
            </w:r>
            <w:r w:rsidRPr="00AB5E74">
              <w:rPr>
                <w:rFonts w:hint="eastAsia"/>
              </w:rPr>
              <w:t>、各类服务现场活动应与内、外电线保持安全距离，达不到规范规定的最小安全距离时，必须采用可靠的防护和监护措施。</w:t>
            </w:r>
            <w:r w:rsidRPr="00AB5E74">
              <w:t>2</w:t>
            </w:r>
            <w:r w:rsidRPr="00AB5E74">
              <w:rPr>
                <w:rFonts w:hint="eastAsia"/>
              </w:rPr>
              <w:t>、临时用电配电线必须按规范架设整齐，架空线路必须采用绝缘导线，不得采用塑胶软线。</w:t>
            </w:r>
            <w:r w:rsidRPr="00AB5E74">
              <w:t>3</w:t>
            </w:r>
            <w:r w:rsidRPr="00AB5E74">
              <w:rPr>
                <w:rFonts w:hint="eastAsia"/>
              </w:rPr>
              <w:t>、配电系统必须实行分级配电。</w:t>
            </w:r>
            <w:r w:rsidRPr="00AB5E74">
              <w:t>4</w:t>
            </w:r>
            <w:r w:rsidRPr="00AB5E74">
              <w:rPr>
                <w:rFonts w:hint="eastAsia"/>
              </w:rPr>
              <w:t>、各类电源、开关箱外观应完整、牢固、防雨、防尘，箱体应外涂安全色标，统一编号，箱内无杂物。</w:t>
            </w:r>
            <w:r w:rsidRPr="00AB5E74">
              <w:t>5</w:t>
            </w:r>
            <w:r w:rsidRPr="00AB5E74">
              <w:rPr>
                <w:rFonts w:hint="eastAsia"/>
              </w:rPr>
              <w:t>、检修各类配电箱、开关箱、电气设备和电力施工机具时，必须切断电源，拆除电气连接并悬挂警示标牌</w:t>
            </w:r>
          </w:p>
          <w:p w14:paraId="170E367A" w14:textId="77777777" w:rsidR="00C27926" w:rsidRDefault="00C27926" w:rsidP="00C27926">
            <w:pPr>
              <w:pStyle w:val="a0"/>
            </w:pPr>
            <w:r>
              <w:rPr>
                <w:rFonts w:hint="eastAsia"/>
              </w:rPr>
              <w:t>目标：火灾事故为</w:t>
            </w:r>
            <w:r>
              <w:rPr>
                <w:rFonts w:hint="eastAsia"/>
              </w:rPr>
              <w:t>0</w:t>
            </w:r>
          </w:p>
          <w:p w14:paraId="174C93E1" w14:textId="77777777" w:rsidR="00AB5E74" w:rsidRDefault="00AB5E74" w:rsidP="00C27926">
            <w:pPr>
              <w:pStyle w:val="a0"/>
            </w:pPr>
            <w:r>
              <w:rPr>
                <w:rFonts w:hint="eastAsia"/>
              </w:rPr>
              <w:t>管理方案：</w:t>
            </w:r>
          </w:p>
          <w:p w14:paraId="6FD1E2FF" w14:textId="77777777" w:rsidR="00C27926" w:rsidRPr="00AB5E74" w:rsidRDefault="00AB5E74" w:rsidP="00AB5E74">
            <w:pPr>
              <w:rPr>
                <w:bCs/>
                <w:spacing w:val="10"/>
              </w:rPr>
            </w:pPr>
            <w:r>
              <w:rPr>
                <w:rFonts w:hint="eastAsia"/>
                <w:bCs/>
                <w:spacing w:val="10"/>
              </w:rPr>
              <w:t>1.</w:t>
            </w:r>
            <w:r w:rsidR="00C27926" w:rsidRPr="00AB5E74">
              <w:rPr>
                <w:rFonts w:hint="eastAsia"/>
                <w:bCs/>
                <w:spacing w:val="10"/>
              </w:rPr>
              <w:t>易燃易爆物品必须有严格的防火措施，确定防火负责人，配备灭火器材，加强巡查。</w:t>
            </w:r>
            <w:r w:rsidR="00C27926" w:rsidRPr="00AB5E74">
              <w:rPr>
                <w:rFonts w:hint="eastAsia"/>
                <w:bCs/>
                <w:spacing w:val="10"/>
              </w:rPr>
              <w:t>2</w:t>
            </w:r>
            <w:r w:rsidR="00C27926" w:rsidRPr="00AB5E74">
              <w:rPr>
                <w:rFonts w:hint="eastAsia"/>
                <w:bCs/>
                <w:spacing w:val="10"/>
              </w:rPr>
              <w:t>、服务材料的存放、使用必须符合防火要求。</w:t>
            </w:r>
            <w:r w:rsidR="00C27926" w:rsidRPr="00AB5E74">
              <w:rPr>
                <w:rFonts w:hint="eastAsia"/>
                <w:bCs/>
                <w:spacing w:val="10"/>
              </w:rPr>
              <w:t>3</w:t>
            </w:r>
            <w:r w:rsidR="00C27926" w:rsidRPr="00AB5E74">
              <w:rPr>
                <w:rFonts w:hint="eastAsia"/>
                <w:bCs/>
                <w:spacing w:val="10"/>
              </w:rPr>
              <w:t>、办公区域的用电要符合防火规定。</w:t>
            </w:r>
            <w:r w:rsidR="00C27926" w:rsidRPr="00AB5E74">
              <w:rPr>
                <w:rFonts w:hint="eastAsia"/>
                <w:bCs/>
                <w:spacing w:val="10"/>
              </w:rPr>
              <w:t>4</w:t>
            </w:r>
            <w:r w:rsidR="00C27926" w:rsidRPr="00AB5E74">
              <w:rPr>
                <w:rFonts w:hint="eastAsia"/>
                <w:bCs/>
                <w:spacing w:val="10"/>
              </w:rPr>
              <w:t>、制定消防预案，成立应急小组处理突发事件。</w:t>
            </w:r>
            <w:r w:rsidR="00C27926" w:rsidRPr="00AB5E74">
              <w:rPr>
                <w:rFonts w:hint="eastAsia"/>
                <w:bCs/>
                <w:spacing w:val="10"/>
              </w:rPr>
              <w:t>5</w:t>
            </w:r>
            <w:r w:rsidR="00C27926" w:rsidRPr="00AB5E74">
              <w:rPr>
                <w:rFonts w:hint="eastAsia"/>
                <w:bCs/>
                <w:spacing w:val="10"/>
              </w:rPr>
              <w:t>、定期对电线、电缆电气设施进行检修</w:t>
            </w:r>
          </w:p>
          <w:p w14:paraId="61FE3CAE" w14:textId="77777777" w:rsidR="00AB5E74" w:rsidRPr="00AB5E74" w:rsidRDefault="00AB5E74" w:rsidP="00AB5E74">
            <w:pPr>
              <w:pStyle w:val="a0"/>
              <w:ind w:left="360"/>
            </w:pPr>
          </w:p>
          <w:p w14:paraId="716ADCB7" w14:textId="77777777" w:rsidR="00EF4625" w:rsidRDefault="00AB5E74">
            <w:pPr>
              <w:rPr>
                <w:szCs w:val="22"/>
              </w:rPr>
            </w:pPr>
            <w:proofErr w:type="gramStart"/>
            <w:r>
              <w:rPr>
                <w:rFonts w:hint="eastAsia"/>
                <w:szCs w:val="22"/>
              </w:rPr>
              <w:t>查上述</w:t>
            </w:r>
            <w:proofErr w:type="gramEnd"/>
            <w:r w:rsidR="00AE1299">
              <w:rPr>
                <w:rFonts w:hint="eastAsia"/>
                <w:szCs w:val="22"/>
              </w:rPr>
              <w:t>职业健康安全目标基本与职业健康安全方针保持一致；可度量（如可行）或可进行绩效评价；</w:t>
            </w:r>
            <w:r w:rsidR="00AE1299">
              <w:rPr>
                <w:rFonts w:hint="eastAsia"/>
                <w:szCs w:val="22"/>
              </w:rPr>
              <w:t xml:space="preserve"> </w:t>
            </w:r>
            <w:r w:rsidR="00AE1299">
              <w:rPr>
                <w:rFonts w:hint="eastAsia"/>
                <w:szCs w:val="22"/>
              </w:rPr>
              <w:t>考虑：适用的要求；风险和机遇的评价结果；与员工和员工代表（如有员工代表）协商的结果；得到监视；予以沟通；</w:t>
            </w:r>
            <w:r w:rsidR="00AE1299">
              <w:rPr>
                <w:rFonts w:hint="eastAsia"/>
                <w:szCs w:val="22"/>
              </w:rPr>
              <w:t xml:space="preserve"> </w:t>
            </w:r>
          </w:p>
          <w:p w14:paraId="2BA23BD6" w14:textId="77777777" w:rsidR="00EF4625" w:rsidRDefault="00AE1299">
            <w:pPr>
              <w:rPr>
                <w:szCs w:val="22"/>
              </w:rPr>
            </w:pPr>
            <w:r>
              <w:rPr>
                <w:rFonts w:hint="eastAsia"/>
                <w:szCs w:val="22"/>
              </w:rPr>
              <w:t>另</w:t>
            </w:r>
            <w:proofErr w:type="gramStart"/>
            <w:r>
              <w:rPr>
                <w:rFonts w:hint="eastAsia"/>
                <w:szCs w:val="22"/>
              </w:rPr>
              <w:t>查目标</w:t>
            </w:r>
            <w:proofErr w:type="gramEnd"/>
            <w:r>
              <w:rPr>
                <w:rFonts w:hint="eastAsia"/>
                <w:szCs w:val="22"/>
              </w:rPr>
              <w:t>指标方案中已经包含了：具体工作内容、需要资源财力、负责人、完成时间节点、包括用于监视的参数的结果评价方式、措施在其业务过程中的应用情况；</w:t>
            </w:r>
          </w:p>
          <w:p w14:paraId="09DE5531" w14:textId="77777777" w:rsidR="00EF4625" w:rsidRDefault="00AE1299">
            <w:pPr>
              <w:rPr>
                <w:szCs w:val="22"/>
              </w:rPr>
            </w:pPr>
            <w:r>
              <w:rPr>
                <w:rFonts w:hint="eastAsia"/>
                <w:szCs w:val="22"/>
              </w:rPr>
              <w:t>抽查</w:t>
            </w:r>
            <w:r w:rsidR="00AB5E74">
              <w:rPr>
                <w:rFonts w:hint="eastAsia"/>
                <w:szCs w:val="22"/>
              </w:rPr>
              <w:t>职业健康目标指标内容：</w:t>
            </w:r>
            <w:r>
              <w:rPr>
                <w:rFonts w:hint="eastAsia"/>
                <w:szCs w:val="22"/>
              </w:rPr>
              <w:t>综合部要求配备合理数量的灭火器并确保其有效性。综合部每月对各部门区域的灭火器进行检查，发现损坏及时要求更换或自行更换</w:t>
            </w:r>
            <w:proofErr w:type="gramStart"/>
            <w:r>
              <w:rPr>
                <w:rFonts w:hint="eastAsia"/>
                <w:szCs w:val="22"/>
              </w:rPr>
              <w:t>”</w:t>
            </w:r>
            <w:proofErr w:type="gramEnd"/>
            <w:r>
              <w:rPr>
                <w:rFonts w:hint="eastAsia"/>
                <w:szCs w:val="22"/>
              </w:rPr>
              <w:t>等；</w:t>
            </w:r>
          </w:p>
          <w:p w14:paraId="3176E11D" w14:textId="77777777" w:rsidR="00EF4625" w:rsidRDefault="00AE1299">
            <w:pPr>
              <w:rPr>
                <w:szCs w:val="22"/>
              </w:rPr>
            </w:pPr>
            <w:r>
              <w:rPr>
                <w:rFonts w:hint="eastAsia"/>
                <w:szCs w:val="22"/>
              </w:rPr>
              <w:t>组织已经保持并保留职业健康安全目标和实现目标的计划的文件化信息；文件有编审批受控、更新日期</w:t>
            </w:r>
            <w:r w:rsidR="00AB5E74">
              <w:rPr>
                <w:rFonts w:hint="eastAsia"/>
                <w:szCs w:val="22"/>
              </w:rPr>
              <w:lastRenderedPageBreak/>
              <w:t>2021.1.10</w:t>
            </w:r>
            <w:r>
              <w:rPr>
                <w:rFonts w:hint="eastAsia"/>
                <w:szCs w:val="22"/>
              </w:rPr>
              <w:t>.</w:t>
            </w:r>
            <w:r>
              <w:rPr>
                <w:rFonts w:hint="eastAsia"/>
                <w:szCs w:val="22"/>
              </w:rPr>
              <w:t>；</w:t>
            </w:r>
          </w:p>
          <w:p w14:paraId="38A6E4BC" w14:textId="77777777" w:rsidR="00EF4625" w:rsidRDefault="00AB5E74" w:rsidP="00AB5E74">
            <w:pPr>
              <w:pStyle w:val="a4"/>
            </w:pPr>
            <w:r>
              <w:rPr>
                <w:rFonts w:hint="eastAsia"/>
                <w:szCs w:val="22"/>
              </w:rPr>
              <w:t>提供《目标</w:t>
            </w:r>
            <w:r w:rsidR="00AE1299">
              <w:rPr>
                <w:rFonts w:hint="eastAsia"/>
                <w:szCs w:val="22"/>
              </w:rPr>
              <w:t>达成统计表》至今未发生任何事件事故、统计日期</w:t>
            </w:r>
            <w:r>
              <w:rPr>
                <w:rFonts w:hint="eastAsia"/>
                <w:szCs w:val="22"/>
              </w:rPr>
              <w:t>2021.6.30</w:t>
            </w:r>
            <w:r w:rsidR="00AE1299">
              <w:rPr>
                <w:rFonts w:hint="eastAsia"/>
                <w:szCs w:val="22"/>
              </w:rPr>
              <w:t>符合规定；</w:t>
            </w:r>
          </w:p>
        </w:tc>
        <w:tc>
          <w:tcPr>
            <w:tcW w:w="1585" w:type="dxa"/>
          </w:tcPr>
          <w:p w14:paraId="75A1D9E8" w14:textId="77777777" w:rsidR="00EF4625" w:rsidRDefault="00EF4625"/>
          <w:p w14:paraId="5D31A2C6" w14:textId="77777777" w:rsidR="004F3279" w:rsidRDefault="004F3279" w:rsidP="004F3279">
            <w:pPr>
              <w:pStyle w:val="a0"/>
            </w:pPr>
          </w:p>
          <w:p w14:paraId="543E6BC2" w14:textId="5DD2FD6E" w:rsidR="004F3279" w:rsidRPr="004F3279" w:rsidRDefault="001A678C" w:rsidP="004F3279">
            <w:pPr>
              <w:pStyle w:val="a0"/>
            </w:pPr>
            <w:r>
              <w:t>Y</w:t>
            </w:r>
          </w:p>
        </w:tc>
      </w:tr>
      <w:tr w:rsidR="00EF4625" w14:paraId="7C8E1204" w14:textId="77777777">
        <w:trPr>
          <w:trHeight w:val="2110"/>
        </w:trPr>
        <w:tc>
          <w:tcPr>
            <w:tcW w:w="2160" w:type="dxa"/>
          </w:tcPr>
          <w:p w14:paraId="407F5E0E" w14:textId="77777777" w:rsidR="00EF4625" w:rsidRDefault="00AE1299">
            <w:pPr>
              <w:rPr>
                <w:szCs w:val="22"/>
              </w:rPr>
            </w:pPr>
            <w:r>
              <w:rPr>
                <w:rFonts w:hint="eastAsia"/>
                <w:szCs w:val="22"/>
              </w:rPr>
              <w:t>监视、测量、分析和评价</w:t>
            </w:r>
            <w:r>
              <w:rPr>
                <w:rFonts w:hint="eastAsia"/>
                <w:szCs w:val="22"/>
              </w:rPr>
              <w:t xml:space="preserve"> </w:t>
            </w:r>
          </w:p>
          <w:p w14:paraId="714822F6" w14:textId="77777777" w:rsidR="00EF4625" w:rsidRDefault="00AE1299">
            <w:pPr>
              <w:rPr>
                <w:szCs w:val="22"/>
              </w:rPr>
            </w:pPr>
            <w:r>
              <w:rPr>
                <w:rFonts w:hint="eastAsia"/>
                <w:szCs w:val="22"/>
              </w:rPr>
              <w:t>总则</w:t>
            </w:r>
          </w:p>
          <w:p w14:paraId="77723C70" w14:textId="77777777" w:rsidR="00EF4625" w:rsidRDefault="00AE1299">
            <w:pPr>
              <w:rPr>
                <w:szCs w:val="22"/>
              </w:rPr>
            </w:pPr>
            <w:r>
              <w:rPr>
                <w:rFonts w:hint="eastAsia"/>
                <w:szCs w:val="22"/>
              </w:rPr>
              <w:t>分析与评价</w:t>
            </w:r>
          </w:p>
          <w:p w14:paraId="7485854D" w14:textId="77777777" w:rsidR="00EF4625" w:rsidRDefault="00AE1299">
            <w:pPr>
              <w:rPr>
                <w:szCs w:val="22"/>
              </w:rPr>
            </w:pPr>
            <w:r>
              <w:rPr>
                <w:rFonts w:hint="eastAsia"/>
                <w:szCs w:val="22"/>
              </w:rPr>
              <w:t>总则</w:t>
            </w:r>
          </w:p>
          <w:p w14:paraId="4157DB7A" w14:textId="77777777" w:rsidR="00EF4625" w:rsidRDefault="00EF4625">
            <w:pPr>
              <w:rPr>
                <w:szCs w:val="22"/>
              </w:rPr>
            </w:pPr>
          </w:p>
        </w:tc>
        <w:tc>
          <w:tcPr>
            <w:tcW w:w="960" w:type="dxa"/>
          </w:tcPr>
          <w:p w14:paraId="628B9E93" w14:textId="77777777" w:rsidR="00EF4625" w:rsidRDefault="00AE1299">
            <w:pPr>
              <w:rPr>
                <w:szCs w:val="22"/>
              </w:rPr>
            </w:pPr>
            <w:r>
              <w:rPr>
                <w:rFonts w:hint="eastAsia"/>
                <w:szCs w:val="22"/>
              </w:rPr>
              <w:t>9.1.1</w:t>
            </w:r>
          </w:p>
          <w:p w14:paraId="214F63A4" w14:textId="77777777" w:rsidR="00EF4625" w:rsidRDefault="00EF4625">
            <w:pPr>
              <w:rPr>
                <w:szCs w:val="22"/>
              </w:rPr>
            </w:pPr>
          </w:p>
          <w:p w14:paraId="7DAE562D" w14:textId="77777777" w:rsidR="00EF4625" w:rsidRDefault="00AE1299">
            <w:pPr>
              <w:rPr>
                <w:szCs w:val="22"/>
              </w:rPr>
            </w:pPr>
            <w:r>
              <w:rPr>
                <w:rFonts w:hint="eastAsia"/>
                <w:szCs w:val="22"/>
              </w:rPr>
              <w:t xml:space="preserve">  </w:t>
            </w:r>
          </w:p>
          <w:p w14:paraId="242D071E" w14:textId="77777777" w:rsidR="00EF4625" w:rsidRDefault="00EF4625">
            <w:pPr>
              <w:rPr>
                <w:szCs w:val="22"/>
              </w:rPr>
            </w:pPr>
            <w:bookmarkStart w:id="0" w:name="_Toc393962767"/>
            <w:bookmarkStart w:id="1" w:name="OLE_LINK113"/>
          </w:p>
          <w:p w14:paraId="6E76CCA8" w14:textId="77777777" w:rsidR="00EF4625" w:rsidRDefault="00AE1299">
            <w:pPr>
              <w:rPr>
                <w:szCs w:val="22"/>
              </w:rPr>
            </w:pPr>
            <w:r>
              <w:rPr>
                <w:rFonts w:hint="eastAsia"/>
                <w:szCs w:val="22"/>
              </w:rPr>
              <w:t>9.1.1</w:t>
            </w:r>
            <w:bookmarkEnd w:id="0"/>
            <w:bookmarkEnd w:id="1"/>
          </w:p>
          <w:p w14:paraId="5E96432A" w14:textId="77777777" w:rsidR="00EF4625" w:rsidRDefault="00EF4625">
            <w:pPr>
              <w:rPr>
                <w:szCs w:val="22"/>
              </w:rPr>
            </w:pPr>
          </w:p>
          <w:p w14:paraId="459B7F18" w14:textId="77777777" w:rsidR="00EF4625" w:rsidRDefault="00EF4625">
            <w:pPr>
              <w:rPr>
                <w:szCs w:val="22"/>
              </w:rPr>
            </w:pPr>
          </w:p>
        </w:tc>
        <w:tc>
          <w:tcPr>
            <w:tcW w:w="10004" w:type="dxa"/>
          </w:tcPr>
          <w:p w14:paraId="79679794" w14:textId="77777777" w:rsidR="00EF4625" w:rsidRPr="004F3279" w:rsidRDefault="00AE1299">
            <w:r w:rsidRPr="004F3279">
              <w:rPr>
                <w:rFonts w:hint="eastAsia"/>
                <w:bCs/>
              </w:rPr>
              <w:t>安全日常检</w:t>
            </w:r>
            <w:r w:rsidRPr="004F3279">
              <w:rPr>
                <w:rFonts w:hint="eastAsia"/>
              </w:rPr>
              <w:t>查：</w:t>
            </w:r>
          </w:p>
          <w:p w14:paraId="162EFD22" w14:textId="77777777" w:rsidR="00EF4625" w:rsidRDefault="00AB5E74">
            <w:pPr>
              <w:rPr>
                <w:szCs w:val="22"/>
              </w:rPr>
            </w:pPr>
            <w:r>
              <w:rPr>
                <w:rFonts w:hint="eastAsia"/>
              </w:rPr>
              <w:t>提供《安全绩效监测评价报告》</w:t>
            </w:r>
            <w:r w:rsidR="00AE1299">
              <w:rPr>
                <w:rFonts w:hint="eastAsia"/>
              </w:rPr>
              <w:t>其中包含“</w:t>
            </w:r>
            <w:r>
              <w:rPr>
                <w:rFonts w:hint="eastAsia"/>
                <w:szCs w:val="22"/>
              </w:rPr>
              <w:t>2021.1.-2021</w:t>
            </w:r>
            <w:r w:rsidR="00AE1299">
              <w:rPr>
                <w:rFonts w:hint="eastAsia"/>
                <w:szCs w:val="22"/>
              </w:rPr>
              <w:t>.10</w:t>
            </w:r>
            <w:r w:rsidR="00AE1299">
              <w:rPr>
                <w:rFonts w:hint="eastAsia"/>
                <w:szCs w:val="22"/>
              </w:rPr>
              <w:t>、</w:t>
            </w:r>
            <w:r w:rsidR="00AE1299">
              <w:rPr>
                <w:rFonts w:hint="eastAsia"/>
              </w:rPr>
              <w:t>职业健康安全方针、目标贯彻执行，日常的现场检查，</w:t>
            </w:r>
            <w:r w:rsidR="00AE1299">
              <w:rPr>
                <w:rFonts w:hint="eastAsia"/>
              </w:rPr>
              <w:t xml:space="preserve"> </w:t>
            </w:r>
            <w:r w:rsidR="00AE1299">
              <w:rPr>
                <w:rFonts w:hint="eastAsia"/>
              </w:rPr>
              <w:t>安全责任制落实及安全教育安全交底，所有进入现场的人员</w:t>
            </w:r>
            <w:r w:rsidR="00AE1299">
              <w:rPr>
                <w:rFonts w:hint="eastAsia"/>
              </w:rPr>
              <w:t xml:space="preserve"> </w:t>
            </w:r>
            <w:r w:rsidR="00AE1299">
              <w:rPr>
                <w:rFonts w:hint="eastAsia"/>
              </w:rPr>
              <w:t>的安全信息，安全防护用品和消防设施配备到位，相关法律法规和其他要求更新，培训，查未出现人身、安全事故”；</w:t>
            </w:r>
          </w:p>
          <w:p w14:paraId="23B1B847" w14:textId="77777777" w:rsidR="00D658BA" w:rsidRDefault="00D658BA">
            <w:pPr>
              <w:rPr>
                <w:b/>
                <w:bCs/>
                <w:szCs w:val="22"/>
              </w:rPr>
            </w:pPr>
          </w:p>
          <w:p w14:paraId="73F734BC" w14:textId="77777777" w:rsidR="00EF4625" w:rsidRPr="004F3279" w:rsidRDefault="00AE1299">
            <w:pPr>
              <w:rPr>
                <w:bCs/>
                <w:szCs w:val="22"/>
              </w:rPr>
            </w:pPr>
            <w:r w:rsidRPr="004F3279">
              <w:rPr>
                <w:rFonts w:hint="eastAsia"/>
                <w:bCs/>
                <w:szCs w:val="22"/>
              </w:rPr>
              <w:t>体检：</w:t>
            </w:r>
          </w:p>
          <w:p w14:paraId="6DAF124C" w14:textId="77777777" w:rsidR="00EF4625" w:rsidRDefault="009C2F54">
            <w:r>
              <w:rPr>
                <w:rFonts w:hint="eastAsia"/>
                <w:szCs w:val="22"/>
              </w:rPr>
              <w:t>抽查陈金明，陈水强，张丹</w:t>
            </w:r>
            <w:proofErr w:type="gramStart"/>
            <w:r>
              <w:rPr>
                <w:rFonts w:hint="eastAsia"/>
                <w:szCs w:val="22"/>
              </w:rPr>
              <w:t>丹</w:t>
            </w:r>
            <w:proofErr w:type="gramEnd"/>
            <w:r>
              <w:rPr>
                <w:rFonts w:hint="eastAsia"/>
                <w:szCs w:val="22"/>
              </w:rPr>
              <w:t>体检报告，确认</w:t>
            </w:r>
            <w:r w:rsidR="00AE1299">
              <w:rPr>
                <w:rFonts w:hint="eastAsia"/>
                <w:szCs w:val="22"/>
              </w:rPr>
              <w:t>员工</w:t>
            </w:r>
            <w:r>
              <w:rPr>
                <w:rFonts w:hint="eastAsia"/>
                <w:szCs w:val="22"/>
              </w:rPr>
              <w:t>于</w:t>
            </w:r>
            <w:r>
              <w:rPr>
                <w:rFonts w:hint="eastAsia"/>
                <w:szCs w:val="22"/>
              </w:rPr>
              <w:t>2021-5-29</w:t>
            </w:r>
            <w:r>
              <w:rPr>
                <w:rFonts w:hint="eastAsia"/>
                <w:szCs w:val="22"/>
              </w:rPr>
              <w:t>日</w:t>
            </w:r>
            <w:r w:rsidR="00AE1299">
              <w:rPr>
                <w:rFonts w:hint="eastAsia"/>
                <w:szCs w:val="22"/>
              </w:rPr>
              <w:t>参加了体检、未出现职业病情况；</w:t>
            </w:r>
          </w:p>
        </w:tc>
        <w:tc>
          <w:tcPr>
            <w:tcW w:w="1585" w:type="dxa"/>
          </w:tcPr>
          <w:p w14:paraId="705DCD24" w14:textId="77777777" w:rsidR="00EF4625" w:rsidRDefault="00EF4625"/>
          <w:p w14:paraId="5993CEB2" w14:textId="77777777" w:rsidR="004F3279" w:rsidRDefault="004F3279" w:rsidP="004F3279">
            <w:pPr>
              <w:pStyle w:val="a0"/>
            </w:pPr>
          </w:p>
          <w:p w14:paraId="166D5CCE" w14:textId="02FCC37A" w:rsidR="004F3279" w:rsidRPr="004F3279" w:rsidRDefault="001A678C" w:rsidP="004F3279">
            <w:pPr>
              <w:pStyle w:val="a0"/>
            </w:pPr>
            <w:r>
              <w:t>Y</w:t>
            </w:r>
          </w:p>
        </w:tc>
      </w:tr>
    </w:tbl>
    <w:p w14:paraId="715612B8" w14:textId="77777777" w:rsidR="00EF4625" w:rsidRDefault="00EF4625">
      <w:pPr>
        <w:pStyle w:val="a9"/>
      </w:pPr>
    </w:p>
    <w:sectPr w:rsidR="00EF4625" w:rsidSect="00EF4625">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3FE51" w14:textId="77777777" w:rsidR="00E27AE1" w:rsidRDefault="00E27AE1" w:rsidP="00EF4625">
      <w:r>
        <w:separator/>
      </w:r>
    </w:p>
  </w:endnote>
  <w:endnote w:type="continuationSeparator" w:id="0">
    <w:p w14:paraId="70C2A926" w14:textId="77777777" w:rsidR="00E27AE1" w:rsidRDefault="00E27AE1" w:rsidP="00EF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146C9A35" w14:textId="77777777" w:rsidR="00ED4D85" w:rsidRDefault="004C0F75">
            <w:pPr>
              <w:pStyle w:val="a9"/>
              <w:jc w:val="center"/>
            </w:pPr>
            <w:r>
              <w:rPr>
                <w:b/>
                <w:sz w:val="24"/>
                <w:szCs w:val="24"/>
              </w:rPr>
              <w:fldChar w:fldCharType="begin"/>
            </w:r>
            <w:r w:rsidR="00ED4D85">
              <w:rPr>
                <w:b/>
              </w:rPr>
              <w:instrText>PAGE</w:instrText>
            </w:r>
            <w:r>
              <w:rPr>
                <w:b/>
                <w:sz w:val="24"/>
                <w:szCs w:val="24"/>
              </w:rPr>
              <w:fldChar w:fldCharType="separate"/>
            </w:r>
            <w:r w:rsidR="00026496">
              <w:rPr>
                <w:b/>
                <w:noProof/>
              </w:rPr>
              <w:t>1</w:t>
            </w:r>
            <w:r>
              <w:rPr>
                <w:b/>
                <w:sz w:val="24"/>
                <w:szCs w:val="24"/>
              </w:rPr>
              <w:fldChar w:fldCharType="end"/>
            </w:r>
            <w:r w:rsidR="00ED4D85">
              <w:rPr>
                <w:lang w:val="zh-CN"/>
              </w:rPr>
              <w:t xml:space="preserve"> </w:t>
            </w:r>
            <w:r w:rsidR="00ED4D85">
              <w:rPr>
                <w:lang w:val="zh-CN"/>
              </w:rPr>
              <w:t xml:space="preserve">/ </w:t>
            </w:r>
            <w:r>
              <w:rPr>
                <w:b/>
                <w:sz w:val="24"/>
                <w:szCs w:val="24"/>
              </w:rPr>
              <w:fldChar w:fldCharType="begin"/>
            </w:r>
            <w:r w:rsidR="00ED4D85">
              <w:rPr>
                <w:b/>
              </w:rPr>
              <w:instrText>NUMPAGES</w:instrText>
            </w:r>
            <w:r>
              <w:rPr>
                <w:b/>
                <w:sz w:val="24"/>
                <w:szCs w:val="24"/>
              </w:rPr>
              <w:fldChar w:fldCharType="separate"/>
            </w:r>
            <w:r w:rsidR="00026496">
              <w:rPr>
                <w:b/>
                <w:noProof/>
              </w:rPr>
              <w:t>4</w:t>
            </w:r>
            <w:r>
              <w:rPr>
                <w:b/>
                <w:sz w:val="24"/>
                <w:szCs w:val="24"/>
              </w:rPr>
              <w:fldChar w:fldCharType="end"/>
            </w:r>
          </w:p>
        </w:sdtContent>
      </w:sdt>
    </w:sdtContent>
  </w:sdt>
  <w:p w14:paraId="2564965B" w14:textId="77777777" w:rsidR="00ED4D85" w:rsidRDefault="00ED4D8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B83BB" w14:textId="77777777" w:rsidR="00E27AE1" w:rsidRDefault="00E27AE1" w:rsidP="00EF4625">
      <w:r>
        <w:separator/>
      </w:r>
    </w:p>
  </w:footnote>
  <w:footnote w:type="continuationSeparator" w:id="0">
    <w:p w14:paraId="141006A7" w14:textId="77777777" w:rsidR="00E27AE1" w:rsidRDefault="00E27AE1" w:rsidP="00EF4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2D78" w14:textId="77777777" w:rsidR="00ED4D85" w:rsidRDefault="00ED4D85" w:rsidP="009158EC">
    <w:pPr>
      <w:pStyle w:val="ab"/>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1689B43E" wp14:editId="3BD46585">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EB9103D" w14:textId="77777777" w:rsidR="00ED4D85" w:rsidRDefault="00E27AE1">
    <w:pPr>
      <w:pStyle w:val="ab"/>
      <w:pBdr>
        <w:bottom w:val="none" w:sz="0" w:space="1" w:color="auto"/>
      </w:pBdr>
      <w:spacing w:line="320" w:lineRule="exact"/>
      <w:jc w:val="left"/>
    </w:pPr>
    <w:r>
      <w:pict w14:anchorId="5E478598">
        <v:shapetype id="_x0000_t202" coordsize="21600,21600" o:spt="202" path="m,l,21600r21600,l21600,xe">
          <v:stroke joinstyle="miter"/>
          <v:path gradientshapeok="t" o:connecttype="rect"/>
        </v:shapetype>
        <v:shape id="_x0000_s3073"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_x0000_s3073">
            <w:txbxContent>
              <w:p w14:paraId="78DCEFBB" w14:textId="77777777" w:rsidR="00ED4D85" w:rsidRDefault="00ED4D85">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D4D85">
      <w:rPr>
        <w:rStyle w:val="CharChar1"/>
        <w:rFonts w:hint="default"/>
        <w:w w:val="90"/>
      </w:rPr>
      <w:t xml:space="preserve">Beijing International Standard united Certification </w:t>
    </w:r>
    <w:proofErr w:type="spellStart"/>
    <w:proofErr w:type="gramStart"/>
    <w:r w:rsidR="00ED4D85">
      <w:rPr>
        <w:rStyle w:val="CharChar1"/>
        <w:rFonts w:hint="default"/>
        <w:w w:val="90"/>
      </w:rPr>
      <w:t>Co.,Ltd</w:t>
    </w:r>
    <w:proofErr w:type="spellEnd"/>
    <w:r w:rsidR="00ED4D85">
      <w:rPr>
        <w:rStyle w:val="CharChar1"/>
        <w:rFonts w:hint="default"/>
        <w:w w:val="90"/>
      </w:rPr>
      <w:t>.</w:t>
    </w:r>
    <w:proofErr w:type="gramEnd"/>
  </w:p>
  <w:p w14:paraId="6CB0BE1D" w14:textId="77777777" w:rsidR="00ED4D85" w:rsidRDefault="00ED4D8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375CEA"/>
    <w:multiLevelType w:val="singleLevel"/>
    <w:tmpl w:val="D8375CEA"/>
    <w:lvl w:ilvl="0">
      <w:start w:val="2"/>
      <w:numFmt w:val="decimal"/>
      <w:suff w:val="nothing"/>
      <w:lvlText w:val="%1）"/>
      <w:lvlJc w:val="left"/>
      <w:pPr>
        <w:ind w:left="3045" w:firstLine="0"/>
      </w:pPr>
    </w:lvl>
  </w:abstractNum>
  <w:abstractNum w:abstractNumId="1" w15:restartNumberingAfterBreak="0">
    <w:nsid w:val="073E7756"/>
    <w:multiLevelType w:val="hybridMultilevel"/>
    <w:tmpl w:val="0CAA2708"/>
    <w:lvl w:ilvl="0" w:tplc="52E6A582">
      <w:start w:val="2"/>
      <w:numFmt w:val="decimal"/>
      <w:lvlText w:val="%1）"/>
      <w:lvlJc w:val="left"/>
      <w:pPr>
        <w:ind w:left="2250" w:hanging="360"/>
      </w:pPr>
      <w:rPr>
        <w:rFonts w:hint="default"/>
      </w:rPr>
    </w:lvl>
    <w:lvl w:ilvl="1" w:tplc="04090019" w:tentative="1">
      <w:start w:val="1"/>
      <w:numFmt w:val="lowerLetter"/>
      <w:lvlText w:val="%2)"/>
      <w:lvlJc w:val="left"/>
      <w:pPr>
        <w:ind w:left="2730" w:hanging="420"/>
      </w:pPr>
    </w:lvl>
    <w:lvl w:ilvl="2" w:tplc="0409001B" w:tentative="1">
      <w:start w:val="1"/>
      <w:numFmt w:val="lowerRoman"/>
      <w:lvlText w:val="%3."/>
      <w:lvlJc w:val="right"/>
      <w:pPr>
        <w:ind w:left="3150" w:hanging="420"/>
      </w:pPr>
    </w:lvl>
    <w:lvl w:ilvl="3" w:tplc="0409000F" w:tentative="1">
      <w:start w:val="1"/>
      <w:numFmt w:val="decimal"/>
      <w:lvlText w:val="%4."/>
      <w:lvlJc w:val="left"/>
      <w:pPr>
        <w:ind w:left="3570" w:hanging="420"/>
      </w:pPr>
    </w:lvl>
    <w:lvl w:ilvl="4" w:tplc="04090019" w:tentative="1">
      <w:start w:val="1"/>
      <w:numFmt w:val="lowerLetter"/>
      <w:lvlText w:val="%5)"/>
      <w:lvlJc w:val="left"/>
      <w:pPr>
        <w:ind w:left="3990" w:hanging="420"/>
      </w:pPr>
    </w:lvl>
    <w:lvl w:ilvl="5" w:tplc="0409001B" w:tentative="1">
      <w:start w:val="1"/>
      <w:numFmt w:val="lowerRoman"/>
      <w:lvlText w:val="%6."/>
      <w:lvlJc w:val="right"/>
      <w:pPr>
        <w:ind w:left="4410" w:hanging="420"/>
      </w:pPr>
    </w:lvl>
    <w:lvl w:ilvl="6" w:tplc="0409000F" w:tentative="1">
      <w:start w:val="1"/>
      <w:numFmt w:val="decimal"/>
      <w:lvlText w:val="%7."/>
      <w:lvlJc w:val="left"/>
      <w:pPr>
        <w:ind w:left="4830" w:hanging="420"/>
      </w:pPr>
    </w:lvl>
    <w:lvl w:ilvl="7" w:tplc="04090019" w:tentative="1">
      <w:start w:val="1"/>
      <w:numFmt w:val="lowerLetter"/>
      <w:lvlText w:val="%8)"/>
      <w:lvlJc w:val="left"/>
      <w:pPr>
        <w:ind w:left="5250" w:hanging="420"/>
      </w:pPr>
    </w:lvl>
    <w:lvl w:ilvl="8" w:tplc="0409001B" w:tentative="1">
      <w:start w:val="1"/>
      <w:numFmt w:val="lowerRoman"/>
      <w:lvlText w:val="%9."/>
      <w:lvlJc w:val="right"/>
      <w:pPr>
        <w:ind w:left="5670" w:hanging="420"/>
      </w:pPr>
    </w:lvl>
  </w:abstractNum>
  <w:abstractNum w:abstractNumId="2" w15:restartNumberingAfterBreak="0">
    <w:nsid w:val="24517228"/>
    <w:multiLevelType w:val="hybridMultilevel"/>
    <w:tmpl w:val="0CAA2708"/>
    <w:lvl w:ilvl="0" w:tplc="52E6A582">
      <w:start w:val="2"/>
      <w:numFmt w:val="decimal"/>
      <w:lvlText w:val="%1）"/>
      <w:lvlJc w:val="left"/>
      <w:pPr>
        <w:ind w:left="2250" w:hanging="360"/>
      </w:pPr>
      <w:rPr>
        <w:rFonts w:hint="default"/>
      </w:rPr>
    </w:lvl>
    <w:lvl w:ilvl="1" w:tplc="04090019" w:tentative="1">
      <w:start w:val="1"/>
      <w:numFmt w:val="lowerLetter"/>
      <w:lvlText w:val="%2)"/>
      <w:lvlJc w:val="left"/>
      <w:pPr>
        <w:ind w:left="2730" w:hanging="420"/>
      </w:pPr>
    </w:lvl>
    <w:lvl w:ilvl="2" w:tplc="0409001B" w:tentative="1">
      <w:start w:val="1"/>
      <w:numFmt w:val="lowerRoman"/>
      <w:lvlText w:val="%3."/>
      <w:lvlJc w:val="right"/>
      <w:pPr>
        <w:ind w:left="3150" w:hanging="420"/>
      </w:pPr>
    </w:lvl>
    <w:lvl w:ilvl="3" w:tplc="0409000F" w:tentative="1">
      <w:start w:val="1"/>
      <w:numFmt w:val="decimal"/>
      <w:lvlText w:val="%4."/>
      <w:lvlJc w:val="left"/>
      <w:pPr>
        <w:ind w:left="3570" w:hanging="420"/>
      </w:pPr>
    </w:lvl>
    <w:lvl w:ilvl="4" w:tplc="04090019" w:tentative="1">
      <w:start w:val="1"/>
      <w:numFmt w:val="lowerLetter"/>
      <w:lvlText w:val="%5)"/>
      <w:lvlJc w:val="left"/>
      <w:pPr>
        <w:ind w:left="3990" w:hanging="420"/>
      </w:pPr>
    </w:lvl>
    <w:lvl w:ilvl="5" w:tplc="0409001B" w:tentative="1">
      <w:start w:val="1"/>
      <w:numFmt w:val="lowerRoman"/>
      <w:lvlText w:val="%6."/>
      <w:lvlJc w:val="right"/>
      <w:pPr>
        <w:ind w:left="4410" w:hanging="420"/>
      </w:pPr>
    </w:lvl>
    <w:lvl w:ilvl="6" w:tplc="0409000F" w:tentative="1">
      <w:start w:val="1"/>
      <w:numFmt w:val="decimal"/>
      <w:lvlText w:val="%7."/>
      <w:lvlJc w:val="left"/>
      <w:pPr>
        <w:ind w:left="4830" w:hanging="420"/>
      </w:pPr>
    </w:lvl>
    <w:lvl w:ilvl="7" w:tplc="04090019" w:tentative="1">
      <w:start w:val="1"/>
      <w:numFmt w:val="lowerLetter"/>
      <w:lvlText w:val="%8)"/>
      <w:lvlJc w:val="left"/>
      <w:pPr>
        <w:ind w:left="5250" w:hanging="420"/>
      </w:pPr>
    </w:lvl>
    <w:lvl w:ilvl="8" w:tplc="0409001B" w:tentative="1">
      <w:start w:val="1"/>
      <w:numFmt w:val="lowerRoman"/>
      <w:lvlText w:val="%9."/>
      <w:lvlJc w:val="right"/>
      <w:pPr>
        <w:ind w:left="5670" w:hanging="420"/>
      </w:pPr>
    </w:lvl>
  </w:abstractNum>
  <w:abstractNum w:abstractNumId="3" w15:restartNumberingAfterBreak="0">
    <w:nsid w:val="5DE449C3"/>
    <w:multiLevelType w:val="hybridMultilevel"/>
    <w:tmpl w:val="BE94E48C"/>
    <w:lvl w:ilvl="0" w:tplc="1B0C2110">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5103FB"/>
    <w:multiLevelType w:val="hybridMultilevel"/>
    <w:tmpl w:val="22B4B57A"/>
    <w:lvl w:ilvl="0" w:tplc="6F7C68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18C62F4"/>
    <w:multiLevelType w:val="hybridMultilevel"/>
    <w:tmpl w:val="4A16A764"/>
    <w:lvl w:ilvl="0" w:tplc="BEFAFF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973B4"/>
    <w:rsid w:val="0001799B"/>
    <w:rsid w:val="000237F6"/>
    <w:rsid w:val="00026496"/>
    <w:rsid w:val="0003373A"/>
    <w:rsid w:val="000400E2"/>
    <w:rsid w:val="00062E46"/>
    <w:rsid w:val="000840F6"/>
    <w:rsid w:val="00087A33"/>
    <w:rsid w:val="000B020C"/>
    <w:rsid w:val="000C3FF7"/>
    <w:rsid w:val="000E1FD4"/>
    <w:rsid w:val="00116913"/>
    <w:rsid w:val="001707F6"/>
    <w:rsid w:val="00195095"/>
    <w:rsid w:val="001A1C49"/>
    <w:rsid w:val="001A2D7F"/>
    <w:rsid w:val="001A34EF"/>
    <w:rsid w:val="001A678C"/>
    <w:rsid w:val="001B43C2"/>
    <w:rsid w:val="001B74A6"/>
    <w:rsid w:val="001F2625"/>
    <w:rsid w:val="001F50A3"/>
    <w:rsid w:val="00203617"/>
    <w:rsid w:val="00291FEA"/>
    <w:rsid w:val="002939AD"/>
    <w:rsid w:val="002A2285"/>
    <w:rsid w:val="002A5825"/>
    <w:rsid w:val="002B4406"/>
    <w:rsid w:val="003010AD"/>
    <w:rsid w:val="00303DB5"/>
    <w:rsid w:val="00307481"/>
    <w:rsid w:val="00337922"/>
    <w:rsid w:val="00340867"/>
    <w:rsid w:val="003659D7"/>
    <w:rsid w:val="00380837"/>
    <w:rsid w:val="00392D45"/>
    <w:rsid w:val="003A198A"/>
    <w:rsid w:val="003F0DE6"/>
    <w:rsid w:val="003F12E0"/>
    <w:rsid w:val="00405343"/>
    <w:rsid w:val="00410914"/>
    <w:rsid w:val="00415DCC"/>
    <w:rsid w:val="00443B55"/>
    <w:rsid w:val="00444235"/>
    <w:rsid w:val="00493180"/>
    <w:rsid w:val="004C0F75"/>
    <w:rsid w:val="004E71EB"/>
    <w:rsid w:val="004F3279"/>
    <w:rsid w:val="004F78DC"/>
    <w:rsid w:val="0051468D"/>
    <w:rsid w:val="00536930"/>
    <w:rsid w:val="00552106"/>
    <w:rsid w:val="00562CB3"/>
    <w:rsid w:val="00564E53"/>
    <w:rsid w:val="00585834"/>
    <w:rsid w:val="00586F5B"/>
    <w:rsid w:val="0059120E"/>
    <w:rsid w:val="005D5659"/>
    <w:rsid w:val="00600C20"/>
    <w:rsid w:val="00644FE2"/>
    <w:rsid w:val="00671C34"/>
    <w:rsid w:val="0067640C"/>
    <w:rsid w:val="00684E7F"/>
    <w:rsid w:val="006B6DFE"/>
    <w:rsid w:val="006C578E"/>
    <w:rsid w:val="006E678B"/>
    <w:rsid w:val="00711AC3"/>
    <w:rsid w:val="007302FD"/>
    <w:rsid w:val="00771E5F"/>
    <w:rsid w:val="00774DFD"/>
    <w:rsid w:val="007757F3"/>
    <w:rsid w:val="007A0108"/>
    <w:rsid w:val="007A7680"/>
    <w:rsid w:val="007E6AEB"/>
    <w:rsid w:val="008534ED"/>
    <w:rsid w:val="0086220B"/>
    <w:rsid w:val="008973EE"/>
    <w:rsid w:val="008D4D24"/>
    <w:rsid w:val="009158EC"/>
    <w:rsid w:val="009202FB"/>
    <w:rsid w:val="00926D1D"/>
    <w:rsid w:val="00927F0A"/>
    <w:rsid w:val="0095061B"/>
    <w:rsid w:val="00961060"/>
    <w:rsid w:val="00971600"/>
    <w:rsid w:val="009973B4"/>
    <w:rsid w:val="009C28C1"/>
    <w:rsid w:val="009C2F54"/>
    <w:rsid w:val="009E41FF"/>
    <w:rsid w:val="009E4939"/>
    <w:rsid w:val="009F7EED"/>
    <w:rsid w:val="00A079CB"/>
    <w:rsid w:val="00A07A6A"/>
    <w:rsid w:val="00A15ED5"/>
    <w:rsid w:val="00A440A1"/>
    <w:rsid w:val="00A56EAF"/>
    <w:rsid w:val="00A73B63"/>
    <w:rsid w:val="00A80636"/>
    <w:rsid w:val="00A820AB"/>
    <w:rsid w:val="00AB5E74"/>
    <w:rsid w:val="00AC5BBE"/>
    <w:rsid w:val="00AD4C87"/>
    <w:rsid w:val="00AE0EBA"/>
    <w:rsid w:val="00AE1299"/>
    <w:rsid w:val="00AF0AAB"/>
    <w:rsid w:val="00B21AC1"/>
    <w:rsid w:val="00B46B2A"/>
    <w:rsid w:val="00B75BC6"/>
    <w:rsid w:val="00B82BC7"/>
    <w:rsid w:val="00B839DA"/>
    <w:rsid w:val="00B83D4D"/>
    <w:rsid w:val="00BB1411"/>
    <w:rsid w:val="00BE13C4"/>
    <w:rsid w:val="00BF597E"/>
    <w:rsid w:val="00BF5C94"/>
    <w:rsid w:val="00C02C24"/>
    <w:rsid w:val="00C25606"/>
    <w:rsid w:val="00C26EBD"/>
    <w:rsid w:val="00C27926"/>
    <w:rsid w:val="00C51A36"/>
    <w:rsid w:val="00C55228"/>
    <w:rsid w:val="00C616A7"/>
    <w:rsid w:val="00C85961"/>
    <w:rsid w:val="00CB2591"/>
    <w:rsid w:val="00CB429C"/>
    <w:rsid w:val="00CE315A"/>
    <w:rsid w:val="00CF0319"/>
    <w:rsid w:val="00D06F59"/>
    <w:rsid w:val="00D60762"/>
    <w:rsid w:val="00D658BA"/>
    <w:rsid w:val="00D761BB"/>
    <w:rsid w:val="00D8388C"/>
    <w:rsid w:val="00DE45C7"/>
    <w:rsid w:val="00DE79A0"/>
    <w:rsid w:val="00E10D27"/>
    <w:rsid w:val="00E1104D"/>
    <w:rsid w:val="00E27AE1"/>
    <w:rsid w:val="00E30F29"/>
    <w:rsid w:val="00E3429A"/>
    <w:rsid w:val="00E6224C"/>
    <w:rsid w:val="00E7766B"/>
    <w:rsid w:val="00EA77A5"/>
    <w:rsid w:val="00EB0164"/>
    <w:rsid w:val="00EB2230"/>
    <w:rsid w:val="00ED0F62"/>
    <w:rsid w:val="00ED4D85"/>
    <w:rsid w:val="00EE2902"/>
    <w:rsid w:val="00EE3CE1"/>
    <w:rsid w:val="00EF4625"/>
    <w:rsid w:val="00F5496F"/>
    <w:rsid w:val="00F80B81"/>
    <w:rsid w:val="00F96777"/>
    <w:rsid w:val="034C51C5"/>
    <w:rsid w:val="0562705E"/>
    <w:rsid w:val="09760BC6"/>
    <w:rsid w:val="09981E28"/>
    <w:rsid w:val="09F551AB"/>
    <w:rsid w:val="0A8A6BA7"/>
    <w:rsid w:val="0B23277A"/>
    <w:rsid w:val="0D4B69C7"/>
    <w:rsid w:val="0EEF4590"/>
    <w:rsid w:val="0F3468D0"/>
    <w:rsid w:val="0F997E93"/>
    <w:rsid w:val="104D1619"/>
    <w:rsid w:val="108219C2"/>
    <w:rsid w:val="10DE7C48"/>
    <w:rsid w:val="11D6584F"/>
    <w:rsid w:val="120D3A2D"/>
    <w:rsid w:val="133E7CE9"/>
    <w:rsid w:val="15371138"/>
    <w:rsid w:val="165737A4"/>
    <w:rsid w:val="170B5BFE"/>
    <w:rsid w:val="178A5CE8"/>
    <w:rsid w:val="181E4E80"/>
    <w:rsid w:val="1A091769"/>
    <w:rsid w:val="1ABA03CF"/>
    <w:rsid w:val="1B1D2677"/>
    <w:rsid w:val="1B5D1D69"/>
    <w:rsid w:val="1CAB31FB"/>
    <w:rsid w:val="1D390463"/>
    <w:rsid w:val="1D3C6D23"/>
    <w:rsid w:val="1D8E5A11"/>
    <w:rsid w:val="1DA36BB1"/>
    <w:rsid w:val="1E290899"/>
    <w:rsid w:val="22073838"/>
    <w:rsid w:val="225474FE"/>
    <w:rsid w:val="231F2396"/>
    <w:rsid w:val="23237352"/>
    <w:rsid w:val="232665D9"/>
    <w:rsid w:val="248A4DCD"/>
    <w:rsid w:val="25F60562"/>
    <w:rsid w:val="26E62F85"/>
    <w:rsid w:val="29755C6A"/>
    <w:rsid w:val="2B356A43"/>
    <w:rsid w:val="2BB1558C"/>
    <w:rsid w:val="2CD94080"/>
    <w:rsid w:val="2D9475F8"/>
    <w:rsid w:val="2EAA3316"/>
    <w:rsid w:val="2F0E5F1B"/>
    <w:rsid w:val="2FAD3FD0"/>
    <w:rsid w:val="3126251D"/>
    <w:rsid w:val="31AD1AE8"/>
    <w:rsid w:val="31D252EC"/>
    <w:rsid w:val="31F7156A"/>
    <w:rsid w:val="32AB0118"/>
    <w:rsid w:val="339F5F59"/>
    <w:rsid w:val="3427326B"/>
    <w:rsid w:val="351D0083"/>
    <w:rsid w:val="369F4E21"/>
    <w:rsid w:val="38A222EE"/>
    <w:rsid w:val="3A312611"/>
    <w:rsid w:val="3DF3476E"/>
    <w:rsid w:val="3F0222CC"/>
    <w:rsid w:val="3FAB3A1E"/>
    <w:rsid w:val="401D2006"/>
    <w:rsid w:val="40244DDE"/>
    <w:rsid w:val="41AD78F5"/>
    <w:rsid w:val="43542F66"/>
    <w:rsid w:val="43A439C8"/>
    <w:rsid w:val="44B81226"/>
    <w:rsid w:val="44D64F12"/>
    <w:rsid w:val="45AA1E1F"/>
    <w:rsid w:val="462D7215"/>
    <w:rsid w:val="46A47E45"/>
    <w:rsid w:val="47230452"/>
    <w:rsid w:val="49586EA8"/>
    <w:rsid w:val="49822AC3"/>
    <w:rsid w:val="4A965BBC"/>
    <w:rsid w:val="4BCD6209"/>
    <w:rsid w:val="4DCB6A41"/>
    <w:rsid w:val="4EA95B28"/>
    <w:rsid w:val="51107B5F"/>
    <w:rsid w:val="51562946"/>
    <w:rsid w:val="528C1234"/>
    <w:rsid w:val="53E33F86"/>
    <w:rsid w:val="5513591F"/>
    <w:rsid w:val="55B4200A"/>
    <w:rsid w:val="55D3314C"/>
    <w:rsid w:val="58455CA1"/>
    <w:rsid w:val="59D15B05"/>
    <w:rsid w:val="5A076719"/>
    <w:rsid w:val="5EA12B9A"/>
    <w:rsid w:val="5FAF1CEF"/>
    <w:rsid w:val="616A3A39"/>
    <w:rsid w:val="62CC6143"/>
    <w:rsid w:val="62D77D40"/>
    <w:rsid w:val="63A828F7"/>
    <w:rsid w:val="63C255F7"/>
    <w:rsid w:val="644843F8"/>
    <w:rsid w:val="64687842"/>
    <w:rsid w:val="646E474A"/>
    <w:rsid w:val="64711015"/>
    <w:rsid w:val="66956685"/>
    <w:rsid w:val="67D077E9"/>
    <w:rsid w:val="6A675D38"/>
    <w:rsid w:val="6D9020D6"/>
    <w:rsid w:val="6EA36731"/>
    <w:rsid w:val="6F611BF9"/>
    <w:rsid w:val="6FE16B9E"/>
    <w:rsid w:val="707E7B4E"/>
    <w:rsid w:val="718314ED"/>
    <w:rsid w:val="74421025"/>
    <w:rsid w:val="748B1532"/>
    <w:rsid w:val="753B6A83"/>
    <w:rsid w:val="755B24E3"/>
    <w:rsid w:val="76920644"/>
    <w:rsid w:val="7738099C"/>
    <w:rsid w:val="77A81EE5"/>
    <w:rsid w:val="77B06974"/>
    <w:rsid w:val="7A041EA6"/>
    <w:rsid w:val="7BC32F24"/>
    <w:rsid w:val="7D220426"/>
    <w:rsid w:val="7DF35C09"/>
    <w:rsid w:val="7E46108E"/>
    <w:rsid w:val="7F085A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4464B66"/>
  <w15:docId w15:val="{1F86388F-619E-4201-8869-FAB87F9B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F4625"/>
    <w:pPr>
      <w:widowControl w:val="0"/>
      <w:jc w:val="both"/>
    </w:pPr>
    <w:rPr>
      <w:rFonts w:ascii="Times New Roman" w:hAnsi="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EF4625"/>
    <w:pPr>
      <w:spacing w:before="25" w:after="25"/>
    </w:pPr>
    <w:rPr>
      <w:bCs/>
      <w:spacing w:val="10"/>
    </w:rPr>
  </w:style>
  <w:style w:type="paragraph" w:styleId="a4">
    <w:name w:val="Body Text"/>
    <w:basedOn w:val="a"/>
    <w:unhideWhenUsed/>
    <w:qFormat/>
    <w:rsid w:val="00EF4625"/>
    <w:pPr>
      <w:spacing w:after="120"/>
    </w:pPr>
  </w:style>
  <w:style w:type="paragraph" w:styleId="a5">
    <w:name w:val="Plain Text"/>
    <w:basedOn w:val="a"/>
    <w:link w:val="a6"/>
    <w:qFormat/>
    <w:rsid w:val="00EF4625"/>
    <w:rPr>
      <w:rFonts w:ascii="宋体" w:hAnsi="Courier New"/>
      <w:szCs w:val="21"/>
    </w:rPr>
  </w:style>
  <w:style w:type="paragraph" w:styleId="a7">
    <w:name w:val="Balloon Text"/>
    <w:basedOn w:val="a"/>
    <w:link w:val="a8"/>
    <w:uiPriority w:val="99"/>
    <w:semiHidden/>
    <w:unhideWhenUsed/>
    <w:qFormat/>
    <w:rsid w:val="00EF4625"/>
    <w:rPr>
      <w:sz w:val="18"/>
      <w:szCs w:val="18"/>
    </w:rPr>
  </w:style>
  <w:style w:type="paragraph" w:styleId="a9">
    <w:name w:val="footer"/>
    <w:basedOn w:val="a"/>
    <w:link w:val="aa"/>
    <w:uiPriority w:val="99"/>
    <w:unhideWhenUsed/>
    <w:qFormat/>
    <w:rsid w:val="00EF4625"/>
    <w:pPr>
      <w:tabs>
        <w:tab w:val="center" w:pos="4153"/>
        <w:tab w:val="right" w:pos="8306"/>
      </w:tabs>
      <w:snapToGrid w:val="0"/>
      <w:jc w:val="left"/>
    </w:pPr>
    <w:rPr>
      <w:sz w:val="18"/>
      <w:szCs w:val="18"/>
    </w:rPr>
  </w:style>
  <w:style w:type="paragraph" w:styleId="ab">
    <w:name w:val="header"/>
    <w:basedOn w:val="a"/>
    <w:link w:val="ac"/>
    <w:unhideWhenUsed/>
    <w:qFormat/>
    <w:rsid w:val="00EF4625"/>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1"/>
    <w:link w:val="ab"/>
    <w:uiPriority w:val="99"/>
    <w:qFormat/>
    <w:rsid w:val="00EF4625"/>
    <w:rPr>
      <w:rFonts w:ascii="Times New Roman" w:eastAsia="宋体" w:hAnsi="Times New Roman" w:cs="Times New Roman"/>
      <w:sz w:val="18"/>
      <w:szCs w:val="18"/>
    </w:rPr>
  </w:style>
  <w:style w:type="character" w:customStyle="1" w:styleId="aa">
    <w:name w:val="页脚 字符"/>
    <w:basedOn w:val="a1"/>
    <w:link w:val="a9"/>
    <w:uiPriority w:val="99"/>
    <w:qFormat/>
    <w:rsid w:val="00EF4625"/>
    <w:rPr>
      <w:rFonts w:ascii="Times New Roman" w:eastAsia="宋体" w:hAnsi="Times New Roman" w:cs="Times New Roman"/>
      <w:sz w:val="18"/>
      <w:szCs w:val="18"/>
    </w:rPr>
  </w:style>
  <w:style w:type="character" w:customStyle="1" w:styleId="a8">
    <w:name w:val="批注框文本 字符"/>
    <w:basedOn w:val="a1"/>
    <w:link w:val="a7"/>
    <w:uiPriority w:val="99"/>
    <w:semiHidden/>
    <w:qFormat/>
    <w:rsid w:val="00EF4625"/>
    <w:rPr>
      <w:rFonts w:ascii="Times New Roman" w:eastAsia="宋体" w:hAnsi="Times New Roman" w:cs="Times New Roman"/>
      <w:sz w:val="18"/>
      <w:szCs w:val="18"/>
    </w:rPr>
  </w:style>
  <w:style w:type="character" w:customStyle="1" w:styleId="CharChar1">
    <w:name w:val="Char Char1"/>
    <w:qFormat/>
    <w:locked/>
    <w:rsid w:val="00EF4625"/>
    <w:rPr>
      <w:rFonts w:ascii="宋体" w:eastAsia="宋体" w:hAnsi="Courier New" w:hint="eastAsia"/>
      <w:kern w:val="2"/>
      <w:sz w:val="21"/>
      <w:lang w:val="en-US" w:eastAsia="zh-CN" w:bidi="ar-SA"/>
    </w:rPr>
  </w:style>
  <w:style w:type="paragraph" w:customStyle="1" w:styleId="Char">
    <w:name w:val="Char"/>
    <w:basedOn w:val="a"/>
    <w:qFormat/>
    <w:rsid w:val="00EF4625"/>
    <w:pPr>
      <w:widowControl/>
      <w:spacing w:after="160" w:line="240" w:lineRule="exact"/>
      <w:jc w:val="left"/>
    </w:pPr>
  </w:style>
  <w:style w:type="paragraph" w:styleId="ad">
    <w:name w:val="List Paragraph"/>
    <w:basedOn w:val="a"/>
    <w:uiPriority w:val="99"/>
    <w:unhideWhenUsed/>
    <w:qFormat/>
    <w:rsid w:val="00EF4625"/>
    <w:pPr>
      <w:ind w:firstLineChars="200" w:firstLine="420"/>
    </w:pPr>
  </w:style>
  <w:style w:type="character" w:customStyle="1" w:styleId="a6">
    <w:name w:val="纯文本 字符"/>
    <w:link w:val="a5"/>
    <w:qFormat/>
    <w:rsid w:val="00EF4625"/>
    <w:rPr>
      <w:rFonts w:ascii="宋体" w:hAnsi="Courier New"/>
      <w:szCs w:val="21"/>
    </w:rPr>
  </w:style>
  <w:style w:type="paragraph" w:customStyle="1" w:styleId="ParaCharCharChar1Char">
    <w:name w:val="默认段落字体 Para Char Char Char1 Char"/>
    <w:basedOn w:val="a"/>
    <w:next w:val="a"/>
    <w:rsid w:val="00961060"/>
    <w:pPr>
      <w:spacing w:line="240" w:lineRule="atLeast"/>
      <w:ind w:left="420" w:firstLine="42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257</cp:revision>
  <dcterms:created xsi:type="dcterms:W3CDTF">2015-06-17T12:51:00Z</dcterms:created>
  <dcterms:modified xsi:type="dcterms:W3CDTF">2021-11-15T12:52:00Z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