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天津赛恩能源技术股份有限公司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0274</w:t>
      </w:r>
      <w:r>
        <w:rPr>
          <w:rFonts w:hint="eastAsia" w:ascii="宋体" w:hAnsi="宋体"/>
          <w:sz w:val="32"/>
          <w:u w:val="single"/>
        </w:rPr>
        <w:t>-2</w:t>
      </w:r>
      <w:r>
        <w:rPr>
          <w:rFonts w:hint="eastAsia" w:ascii="宋体" w:hAnsi="宋体"/>
          <w:sz w:val="32"/>
          <w:u w:val="single"/>
          <w:lang w:val="en-US" w:eastAsia="zh-CN"/>
        </w:rPr>
        <w:t>020</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274</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bCs/>
                <w:kern w:val="0"/>
                <w:szCs w:val="21"/>
              </w:rPr>
              <w:t>企业</w:t>
            </w:r>
            <w:r>
              <w:rPr>
                <w:rFonts w:hint="eastAsia" w:ascii="宋体" w:hAnsi="宋体" w:cs="宋体"/>
                <w:kern w:val="0"/>
                <w:szCs w:val="21"/>
              </w:rPr>
              <w:t>名称</w:t>
            </w:r>
          </w:p>
        </w:tc>
        <w:tc>
          <w:tcPr>
            <w:tcW w:w="3362" w:type="dxa"/>
            <w:vAlign w:val="center"/>
          </w:tcPr>
          <w:p>
            <w:pPr>
              <w:tabs>
                <w:tab w:val="left" w:pos="880"/>
              </w:tabs>
              <w:autoSpaceDE w:val="0"/>
              <w:autoSpaceDN w:val="0"/>
              <w:adjustRightInd w:val="0"/>
              <w:spacing w:before="35" w:line="276" w:lineRule="auto"/>
              <w:ind w:right="161" w:rightChars="0"/>
              <w:jc w:val="both"/>
              <w:rPr>
                <w:rFonts w:hint="eastAsia" w:cs="宋体" w:asciiTheme="minorEastAsia" w:hAnsiTheme="minorEastAsia" w:eastAsiaTheme="minorEastAsia"/>
                <w:kern w:val="0"/>
                <w:sz w:val="21"/>
                <w:szCs w:val="21"/>
                <w:lang w:eastAsia="zh-CN"/>
              </w:rPr>
            </w:pPr>
            <w:r>
              <w:rPr>
                <w:rFonts w:hint="eastAsia" w:ascii="宋体" w:hAnsi="宋体" w:eastAsia="宋体"/>
                <w:color w:val="000000"/>
                <w:szCs w:val="21"/>
                <w:lang w:eastAsia="zh-CN"/>
              </w:rPr>
              <w:t>天津赛恩能源技术股份有限公司</w:t>
            </w:r>
          </w:p>
        </w:tc>
        <w:tc>
          <w:tcPr>
            <w:tcW w:w="1623"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企业联系人</w:t>
            </w:r>
          </w:p>
        </w:tc>
        <w:tc>
          <w:tcPr>
            <w:tcW w:w="2561" w:type="dxa"/>
            <w:vAlign w:val="center"/>
          </w:tcPr>
          <w:p>
            <w:pPr>
              <w:tabs>
                <w:tab w:val="left" w:pos="880"/>
              </w:tabs>
              <w:autoSpaceDE w:val="0"/>
              <w:autoSpaceDN w:val="0"/>
              <w:adjustRightInd w:val="0"/>
              <w:spacing w:before="35" w:line="360" w:lineRule="auto"/>
              <w:ind w:right="161" w:rightChars="0"/>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lang w:eastAsia="zh-CN"/>
              </w:rPr>
              <w:t>郭飞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认证证书编号</w:t>
            </w:r>
          </w:p>
        </w:tc>
        <w:tc>
          <w:tcPr>
            <w:tcW w:w="3362" w:type="dxa"/>
            <w:vAlign w:val="top"/>
          </w:tcPr>
          <w:p>
            <w:pPr>
              <w:tabs>
                <w:tab w:val="left" w:pos="880"/>
              </w:tabs>
              <w:autoSpaceDE w:val="0"/>
              <w:autoSpaceDN w:val="0"/>
              <w:adjustRightInd w:val="0"/>
              <w:spacing w:before="35" w:line="276" w:lineRule="auto"/>
              <w:ind w:right="161" w:rightChars="0" w:firstLine="420" w:firstLineChars="200"/>
              <w:rPr>
                <w:rFonts w:hint="default" w:asciiTheme="minorEastAsia" w:hAnsiTheme="minorEastAsia" w:eastAsiaTheme="minorEastAsia"/>
                <w:sz w:val="21"/>
                <w:szCs w:val="21"/>
                <w:highlight w:val="none"/>
                <w:lang w:val="en-US" w:eastAsia="zh-CN"/>
              </w:rPr>
            </w:pPr>
            <w:r>
              <w:rPr>
                <w:rFonts w:hint="eastAsia" w:ascii="宋体" w:hAnsi="宋体" w:cs="宋体"/>
                <w:kern w:val="0"/>
                <w:szCs w:val="21"/>
                <w:shd w:val="clear" w:color="auto" w:fill="auto"/>
                <w:lang w:val="en-US" w:eastAsia="zh-CN"/>
              </w:rPr>
              <w:t>ISC-2020-0891</w:t>
            </w:r>
          </w:p>
        </w:tc>
        <w:tc>
          <w:tcPr>
            <w:tcW w:w="162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ascii="宋体" w:hAnsi="宋体" w:cs="宋体"/>
                <w:kern w:val="0"/>
                <w:szCs w:val="21"/>
              </w:rPr>
              <w:t>证书有效期</w:t>
            </w:r>
          </w:p>
        </w:tc>
        <w:tc>
          <w:tcPr>
            <w:tcW w:w="2561"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highlight w:val="red"/>
                <w:lang w:val="en-US"/>
              </w:rPr>
            </w:pPr>
            <w:r>
              <w:rPr>
                <w:rFonts w:hint="eastAsia" w:ascii="宋体" w:hAnsi="宋体" w:cs="宋体"/>
                <w:kern w:val="0"/>
                <w:szCs w:val="21"/>
                <w:shd w:val="clear" w:color="auto" w:fill="auto"/>
                <w:lang w:val="en-US" w:eastAsia="zh-CN"/>
              </w:rPr>
              <w:t>2025.12.21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23日上午-24</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2"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623"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561" w:type="dxa"/>
            <w:vAlign w:val="center"/>
          </w:tcPr>
          <w:p>
            <w:pPr>
              <w:jc w:val="left"/>
              <w:rPr>
                <w:rFonts w:hint="eastAsia" w:ascii="宋体" w:hAnsi="宋体" w:cs="宋体"/>
                <w:bCs/>
                <w:szCs w:val="21"/>
              </w:rPr>
            </w:pPr>
            <w:r>
              <w:rPr>
                <w:rFonts w:hint="eastAsia" w:ascii="宋体" w:hAnsi="宋体" w:cs="宋体"/>
                <w:bCs/>
                <w:szCs w:val="21"/>
                <w:lang w:eastAsia="zh-CN"/>
              </w:rPr>
              <w:t>品技部、研发部、行政部、市场营销中心、生产部、资材部</w:t>
            </w:r>
          </w:p>
          <w:p>
            <w:pPr>
              <w:ind w:left="210" w:hanging="210" w:hangingChars="100"/>
              <w:rPr>
                <w:rFonts w:ascii="宋体" w:hAnsi="宋体" w:eastAsia="宋体" w:cs="Times New Roman"/>
                <w:bCs/>
                <w:sz w:val="21"/>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天津赛恩能源技术股份有限公司远程</w:t>
      </w:r>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6</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11-12</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管理者代表孙路任审核组长组织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6</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18</w:t>
      </w:r>
      <w:r>
        <w:rPr>
          <w:rFonts w:hint="eastAsia" w:ascii="宋体" w:hAnsi="宋体" w:cs="宋体"/>
          <w:bCs/>
          <w:kern w:val="0"/>
          <w:szCs w:val="21"/>
        </w:rPr>
        <w:t>日，开展了测量体系管理</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会议由企业总经理</w:t>
      </w:r>
      <w:r>
        <w:rPr>
          <w:rFonts w:hint="eastAsia"/>
          <w:bCs/>
          <w:szCs w:val="21"/>
          <w:lang w:eastAsia="zh-CN"/>
        </w:rPr>
        <w:t>王本龙主持，</w:t>
      </w:r>
      <w:r>
        <w:rPr>
          <w:szCs w:val="21"/>
        </w:rPr>
        <w:t>管理者代表</w:t>
      </w:r>
      <w:r>
        <w:rPr>
          <w:rFonts w:hint="eastAsia"/>
          <w:szCs w:val="21"/>
          <w:lang w:eastAsia="zh-CN"/>
        </w:rPr>
        <w:t>孙路及</w:t>
      </w:r>
      <w:r>
        <w:rPr>
          <w:szCs w:val="21"/>
        </w:rPr>
        <w:t>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bookmarkStart w:id="3" w:name="审核范围"/>
      <w:r>
        <w:rPr>
          <w:rFonts w:hint="eastAsia" w:ascii="宋体" w:hAnsi="宋体"/>
          <w:szCs w:val="21"/>
        </w:rPr>
        <w:t>智能水表的生产及销售</w:t>
      </w:r>
      <w:bookmarkEnd w:id="3"/>
      <w:r>
        <w:rPr>
          <w:rFonts w:hint="eastAsia" w:ascii="宋体" w:hAnsi="宋体" w:eastAsia="宋体" w:cs="宋体"/>
          <w:b w:val="0"/>
          <w:bCs w:val="0"/>
          <w:sz w:val="21"/>
          <w:szCs w:val="21"/>
          <w:lang w:eastAsia="zh-CN"/>
        </w:rPr>
        <w:t>。品技部</w:t>
      </w:r>
      <w:r>
        <w:rPr>
          <w:rFonts w:hint="eastAsia" w:ascii="宋体" w:hAnsi="宋体" w:eastAsia="宋体" w:cs="宋体"/>
          <w:b w:val="0"/>
          <w:bCs w:val="0"/>
          <w:kern w:val="0"/>
          <w:sz w:val="21"/>
          <w:szCs w:val="21"/>
        </w:rPr>
        <w:t>已组织识别</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sz w:val="21"/>
          <w:szCs w:val="21"/>
          <w:lang w:val="en-US" w:eastAsia="zh-CN"/>
        </w:rPr>
        <w:t>水表常用流量误差测量</w:t>
      </w:r>
      <w:r>
        <w:rPr>
          <w:rFonts w:hint="eastAsia" w:ascii="宋体" w:hAnsi="宋体" w:eastAsia="宋体" w:cs="宋体"/>
          <w:b w:val="0"/>
          <w:bCs w:val="0"/>
          <w:snapToGrid w:val="0"/>
          <w:color w:val="000000"/>
          <w:kern w:val="0"/>
          <w:sz w:val="21"/>
          <w:szCs w:val="21"/>
          <w:lang w:eastAsia="zh-CN"/>
        </w:rPr>
        <w:t>等</w:t>
      </w:r>
      <w:r>
        <w:rPr>
          <w:rFonts w:hint="eastAsia" w:ascii="宋体" w:hAnsi="宋体" w:eastAsia="宋体" w:cs="宋体"/>
          <w:b w:val="0"/>
          <w:bCs w:val="0"/>
          <w:kern w:val="0"/>
          <w:sz w:val="21"/>
          <w:szCs w:val="21"/>
          <w:lang w:val="en-US" w:eastAsia="zh-CN"/>
        </w:rPr>
        <w:t>测量过程，未增加新</w:t>
      </w:r>
      <w:r>
        <w:rPr>
          <w:rFonts w:hint="eastAsia" w:ascii="宋体" w:hAnsi="宋体" w:eastAsia="宋体" w:cs="宋体"/>
          <w:b w:val="0"/>
          <w:bCs w:val="0"/>
          <w:kern w:val="0"/>
          <w:sz w:val="21"/>
          <w:szCs w:val="21"/>
          <w:lang w:eastAsia="zh-CN"/>
        </w:rPr>
        <w:t>测量过程；</w:t>
      </w:r>
      <w:r>
        <w:rPr>
          <w:rFonts w:hint="eastAsia" w:ascii="宋体" w:hAnsi="宋体" w:eastAsia="宋体" w:cs="宋体"/>
          <w:b w:val="0"/>
          <w:bCs w:val="0"/>
          <w:kern w:val="0"/>
          <w:sz w:val="21"/>
          <w:szCs w:val="21"/>
        </w:rPr>
        <w:t>“</w:t>
      </w:r>
      <w:r>
        <w:rPr>
          <w:rFonts w:hint="eastAsia" w:ascii="宋体" w:hAnsi="宋体" w:eastAsia="宋体" w:cs="宋体"/>
          <w:b w:val="0"/>
          <w:bCs w:val="0"/>
          <w:sz w:val="21"/>
          <w:szCs w:val="21"/>
          <w:lang w:val="en-US" w:eastAsia="zh-CN"/>
        </w:rPr>
        <w:t>水表常用流量误差测量</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为</w:t>
      </w:r>
      <w:r>
        <w:rPr>
          <w:rFonts w:hint="eastAsia" w:ascii="宋体" w:hAnsi="宋体" w:eastAsia="宋体" w:cs="宋体"/>
          <w:b w:val="0"/>
          <w:bCs w:val="0"/>
          <w:kern w:val="0"/>
          <w:sz w:val="21"/>
          <w:szCs w:val="21"/>
          <w:lang w:eastAsia="zh-CN"/>
        </w:rPr>
        <w:t>关键</w:t>
      </w:r>
      <w:r>
        <w:rPr>
          <w:rFonts w:hint="eastAsia" w:ascii="宋体" w:hAnsi="宋体" w:eastAsia="宋体" w:cs="宋体"/>
          <w:b w:val="0"/>
          <w:bCs w:val="0"/>
          <w:kern w:val="0"/>
          <w:sz w:val="21"/>
          <w:szCs w:val="21"/>
        </w:rPr>
        <w:t>测量过程。企业分别对测量过程的测量要素，</w:t>
      </w:r>
      <w:r>
        <w:rPr>
          <w:rFonts w:hint="eastAsia" w:ascii="宋体" w:hAnsi="宋体" w:cs="宋体"/>
          <w:bCs/>
          <w:kern w:val="0"/>
          <w:szCs w:val="21"/>
        </w:rPr>
        <w:t>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eastAsia="宋体" w:cs="宋体"/>
          <w:b w:val="0"/>
          <w:bCs/>
          <w:kern w:val="0"/>
          <w:sz w:val="21"/>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51</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eastAsia="宋体" w:cs="宋体"/>
          <w:b w:val="0"/>
          <w:bCs/>
          <w:kern w:val="0"/>
          <w:sz w:val="21"/>
          <w:szCs w:val="21"/>
        </w:rPr>
        <w:t>“</w:t>
      </w:r>
      <w:r>
        <w:rPr>
          <w:rFonts w:hint="eastAsia" w:ascii="宋体" w:hAnsi="宋体" w:eastAsia="宋体" w:cs="宋体"/>
          <w:b w:val="0"/>
          <w:bCs/>
          <w:sz w:val="21"/>
          <w:szCs w:val="21"/>
          <w:lang w:val="en-US" w:eastAsia="zh-CN"/>
        </w:rPr>
        <w:t>水表常用流量误差测量</w:t>
      </w:r>
      <w:r>
        <w:rPr>
          <w:rFonts w:hint="eastAsia" w:ascii="宋体" w:hAnsi="宋体" w:eastAsia="宋体" w:cs="宋体"/>
          <w:b w:val="0"/>
          <w:bCs/>
          <w:kern w:val="0"/>
          <w:sz w:val="21"/>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加关键</w:t>
      </w:r>
      <w:r>
        <w:rPr>
          <w:rFonts w:ascii="Times New Roman" w:hAnsi="Times New Roman" w:cs="Times New Roman"/>
          <w:bCs/>
          <w:kern w:val="0"/>
          <w:szCs w:val="21"/>
        </w:rPr>
        <w:t>测量过程</w:t>
      </w:r>
      <w:r>
        <w:rPr>
          <w:rFonts w:hint="eastAsia" w:ascii="Times New Roman" w:hAnsi="Times New Roman" w:cs="Times New Roman"/>
          <w:bCs/>
          <w:kern w:val="0"/>
          <w:szCs w:val="21"/>
          <w:lang w:eastAsia="zh-CN"/>
        </w:rPr>
        <w:t>，查原“</w:t>
      </w:r>
      <w:r>
        <w:rPr>
          <w:rFonts w:hint="eastAsia" w:ascii="宋体" w:hAnsi="宋体" w:eastAsia="宋体" w:cs="宋体"/>
          <w:b w:val="0"/>
          <w:bCs w:val="0"/>
          <w:sz w:val="21"/>
          <w:szCs w:val="21"/>
          <w:lang w:val="en-US" w:eastAsia="zh-CN"/>
        </w:rPr>
        <w:t>水表常用流量误差</w:t>
      </w:r>
      <w:r>
        <w:rPr>
          <w:rFonts w:hint="eastAsia"/>
          <w:lang w:val="en-US" w:eastAsia="zh-CN"/>
        </w:rPr>
        <w:t>测</w:t>
      </w:r>
      <w:r>
        <w:rPr>
          <w:rFonts w:hint="eastAsia" w:ascii="宋体" w:hAnsi="宋体" w:eastAsia="宋体" w:cs="宋体"/>
          <w:sz w:val="21"/>
          <w:szCs w:val="21"/>
          <w:lang w:val="en-US" w:eastAsia="zh-CN"/>
        </w:rPr>
        <w:t>量过程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ascii="宋体" w:hAnsi="宋体" w:eastAsia="宋体" w:cs="宋体"/>
          <w:b w:val="0"/>
          <w:bCs w:val="0"/>
          <w:sz w:val="21"/>
          <w:szCs w:val="21"/>
          <w:lang w:val="en-US" w:eastAsia="zh-CN"/>
        </w:rPr>
        <w:t>水表常用流量误差</w:t>
      </w:r>
      <w:r>
        <w:rPr>
          <w:rFonts w:ascii="Times New Roman" w:hAnsi="Times New Roman" w:cs="Times New Roman"/>
          <w:bCs/>
          <w:kern w:val="0"/>
          <w:sz w:val="21"/>
          <w:szCs w:val="21"/>
        </w:rPr>
        <w:t>测量不确定度评定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eastAsia" w:ascii="宋体" w:hAnsi="宋体" w:eastAsia="宋体" w:cs="宋体"/>
          <w:b w:val="0"/>
          <w:bCs w:val="0"/>
          <w:sz w:val="21"/>
          <w:szCs w:val="21"/>
          <w:lang w:val="en-US" w:eastAsia="zh-CN"/>
        </w:rPr>
        <w:t>水表常用流量误差</w:t>
      </w:r>
      <w:r>
        <w:rPr>
          <w:rFonts w:hint="eastAsia"/>
          <w:lang w:val="en-US" w:eastAsia="zh-CN"/>
        </w:rPr>
        <w:t>测量</w:t>
      </w:r>
      <w:r>
        <w:rPr>
          <w:rFonts w:hint="eastAsia"/>
        </w:rPr>
        <w:t>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上次认证</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w:t>
      </w:r>
      <w:r>
        <w:rPr>
          <w:rFonts w:hint="eastAsia" w:ascii="宋体" w:hAnsi="宋体"/>
          <w:b w:val="0"/>
          <w:bCs/>
          <w:sz w:val="21"/>
          <w:szCs w:val="21"/>
          <w:lang w:eastAsia="zh-CN"/>
        </w:rPr>
        <w:t>认证</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ascii="宋体" w:hAnsi="宋体"/>
          <w:bCs/>
          <w:sz w:val="21"/>
          <w:szCs w:val="21"/>
          <w:lang w:val="en-US" w:eastAsia="zh-CN"/>
        </w:rPr>
        <w:t>现场发现水表检定装置上测耐压用的编号：2552测量范围（0-2.5）MPa压力表没有列入测量设备管理。</w:t>
      </w:r>
      <w:r>
        <w:rPr>
          <w:rFonts w:hint="eastAsia" w:ascii="宋体" w:hAnsi="宋体" w:cs="宋体"/>
          <w:kern w:val="0"/>
          <w:szCs w:val="21"/>
        </w:rPr>
        <w:t>不符合</w:t>
      </w:r>
      <w:r>
        <w:rPr>
          <w:rFonts w:hint="eastAsia" w:ascii="宋体" w:hAnsi="宋体"/>
          <w:color w:val="auto"/>
          <w:szCs w:val="21"/>
          <w:lang w:val="en-US" w:eastAsia="zh-CN"/>
        </w:rPr>
        <w:t>GB/T19022-2003标准中 6.3.1测量设备条款的要求”。</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hint="eastAsia" w:ascii="宋体" w:hAnsi="宋体" w:cs="宋体"/>
          <w:bCs/>
          <w:kern w:val="0"/>
          <w:szCs w:val="21"/>
          <w:highlight w:val="none"/>
          <w:lang w:val="en-US" w:eastAsia="zh-CN"/>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营业执照变更（</w:t>
      </w:r>
      <w:r>
        <w:rPr>
          <w:rFonts w:hint="eastAsia" w:ascii="宋体" w:hAnsi="宋体" w:cs="宋体"/>
          <w:bCs/>
          <w:kern w:val="0"/>
          <w:szCs w:val="21"/>
          <w:highlight w:val="none"/>
          <w:lang w:val="en-US" w:eastAsia="zh-CN"/>
        </w:rPr>
        <w:t>2021.01.26</w:t>
      </w:r>
      <w:r>
        <w:rPr>
          <w:rFonts w:hint="eastAsia" w:ascii="宋体" w:hAnsi="宋体" w:cs="宋体"/>
          <w:bCs/>
          <w:kern w:val="0"/>
          <w:szCs w:val="21"/>
          <w:highlight w:val="none"/>
          <w:lang w:eastAsia="zh-CN"/>
        </w:rPr>
        <w:t>）</w:t>
      </w:r>
      <w:r>
        <w:rPr>
          <w:rFonts w:hint="eastAsia" w:ascii="宋体" w:hAnsi="宋体" w:cs="宋体"/>
          <w:bCs/>
          <w:kern w:val="0"/>
          <w:szCs w:val="21"/>
          <w:highlight w:val="none"/>
          <w:lang w:val="en-US" w:eastAsia="zh-CN"/>
        </w:rPr>
        <w:t>，附：“工商核准证明”，</w:t>
      </w:r>
      <w:r>
        <w:rPr>
          <w:rFonts w:hint="eastAsia" w:ascii="宋体" w:hAnsi="宋体" w:cs="宋体"/>
          <w:b w:val="0"/>
          <w:bCs/>
          <w:kern w:val="0"/>
          <w:szCs w:val="21"/>
          <w:highlight w:val="none"/>
          <w:lang w:val="en-US" w:eastAsia="zh-CN"/>
        </w:rPr>
        <w:t>认证范围没有变化</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w:t>
      </w:r>
      <w:r>
        <w:rPr>
          <w:rFonts w:hint="eastAsia" w:ascii="宋体" w:hAnsi="宋体" w:cs="宋体"/>
          <w:bCs/>
          <w:kern w:val="0"/>
          <w:szCs w:val="21"/>
          <w:highlight w:val="none"/>
          <w:lang w:eastAsia="zh-CN"/>
        </w:rPr>
        <w:t>由总经理重新任命为：孙路，组织测量体系运行工作</w:t>
      </w:r>
      <w:r>
        <w:rPr>
          <w:rFonts w:hint="eastAsia" w:ascii="宋体" w:hAnsi="宋体" w:cs="宋体"/>
          <w:bCs/>
          <w:kern w:val="0"/>
          <w:szCs w:val="21"/>
          <w:highlight w:val="none"/>
        </w:rPr>
        <w:t>、</w:t>
      </w:r>
      <w:r>
        <w:rPr>
          <w:rFonts w:hint="eastAsia" w:ascii="宋体" w:hAnsi="宋体" w:cs="宋体"/>
          <w:bCs/>
          <w:kern w:val="0"/>
          <w:szCs w:val="21"/>
          <w:highlight w:val="none"/>
          <w:lang w:eastAsia="zh-CN"/>
        </w:rPr>
        <w:t>附：“</w:t>
      </w:r>
      <w:r>
        <w:rPr>
          <w:rFonts w:hint="eastAsia" w:ascii="宋体" w:hAnsi="宋体" w:cs="宋体"/>
          <w:bCs/>
          <w:kern w:val="0"/>
          <w:szCs w:val="21"/>
          <w:highlight w:val="none"/>
        </w:rPr>
        <w:t>管理者代表</w:t>
      </w:r>
      <w:r>
        <w:rPr>
          <w:rFonts w:hint="eastAsia" w:ascii="宋体" w:hAnsi="宋体" w:cs="宋体"/>
          <w:bCs/>
          <w:kern w:val="0"/>
          <w:szCs w:val="21"/>
          <w:highlight w:val="none"/>
          <w:lang w:eastAsia="zh-CN"/>
        </w:rPr>
        <w:t>任命书”，企业的</w:t>
      </w:r>
      <w:r>
        <w:rPr>
          <w:rFonts w:hint="eastAsia" w:ascii="宋体" w:hAnsi="宋体" w:cs="宋体"/>
          <w:bCs/>
          <w:kern w:val="0"/>
          <w:szCs w:val="21"/>
          <w:highlight w:val="none"/>
        </w:rPr>
        <w:t>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r>
        <w:rPr>
          <w:rFonts w:hint="eastAsia" w:ascii="宋体" w:hAnsi="宋体" w:cs="宋体"/>
          <w:bCs/>
          <w:kern w:val="0"/>
          <w:szCs w:val="21"/>
          <w:highlight w:val="none"/>
          <w:lang w:val="en-US" w:eastAsia="zh-CN"/>
        </w:rPr>
        <w:t>。</w:t>
      </w:r>
      <w:bookmarkStart w:id="5" w:name="_GoBack"/>
      <w:bookmarkEnd w:id="5"/>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天津市自来水公司等</w:t>
      </w:r>
      <w:r>
        <w:rPr>
          <w:rFonts w:hint="eastAsia" w:ascii="宋体" w:hAnsi="宋体" w:cs="宋体"/>
          <w:bCs/>
          <w:kern w:val="0"/>
          <w:szCs w:val="21"/>
          <w:highlight w:val="none"/>
          <w:lang w:eastAsia="zh-CN"/>
        </w:rPr>
        <w:t>招投标单位。</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10.1</w:t>
      </w:r>
      <w:r>
        <w:rPr>
          <w:rFonts w:hint="eastAsia" w:ascii="Times New Roman" w:hAnsi="Times New Roman" w:eastAsia="宋体" w:cs="Times New Roman"/>
          <w:color w:val="auto"/>
          <w:sz w:val="21"/>
          <w:szCs w:val="21"/>
          <w:lang w:val="en-US" w:eastAsia="zh-CN"/>
        </w:rPr>
        <w:t>品技部提供的</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IC卡水表出厂检验记录单”检验日期</w:t>
      </w:r>
      <w:r>
        <w:rPr>
          <w:rFonts w:hint="eastAsia" w:ascii="Times New Roman" w:hAnsi="Times New Roman" w:eastAsia="宋体" w:cs="Times New Roman"/>
          <w:color w:val="auto"/>
          <w:sz w:val="21"/>
          <w:szCs w:val="21"/>
          <w:lang w:eastAsia="zh-CN"/>
        </w:rPr>
        <w:t>2021.</w:t>
      </w:r>
      <w:r>
        <w:rPr>
          <w:rFonts w:hint="eastAsia" w:ascii="Times New Roman" w:hAnsi="Times New Roman" w:eastAsia="宋体" w:cs="Times New Roman"/>
          <w:color w:val="auto"/>
          <w:sz w:val="21"/>
          <w:szCs w:val="21"/>
          <w:lang w:val="en-US" w:eastAsia="zh-CN"/>
        </w:rPr>
        <w:t>11</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23，</w:t>
      </w:r>
      <w:r>
        <w:rPr>
          <w:rFonts w:hint="eastAsia" w:ascii="Times New Roman" w:hAnsi="Times New Roman" w:eastAsia="宋体" w:cs="Times New Roman"/>
          <w:color w:val="auto"/>
          <w:sz w:val="21"/>
          <w:szCs w:val="21"/>
          <w:lang w:eastAsia="zh-CN"/>
        </w:rPr>
        <w:t xml:space="preserve"> 记录中未标注产品检验所依据的标准。</w:t>
      </w:r>
      <w:r>
        <w:rPr>
          <w:rFonts w:hint="eastAsia" w:ascii="宋体" w:hAnsi="宋体" w:eastAsia="宋体" w:cs="宋体"/>
          <w:kern w:val="0"/>
          <w:sz w:val="21"/>
          <w:szCs w:val="21"/>
          <w:lang w:val="en-US" w:eastAsia="zh-CN" w:bidi="ar-SA"/>
        </w:rPr>
        <w:t>不符合GB/T19022-2003标准中 7</w:t>
      </w:r>
      <w:r>
        <w:rPr>
          <w:rFonts w:hint="eastAsia" w:ascii="宋体" w:hAnsi="宋体" w:cs="宋体"/>
          <w:kern w:val="0"/>
          <w:szCs w:val="21"/>
          <w:highlight w:val="none"/>
          <w:lang w:val="en-US" w:eastAsia="zh-CN"/>
        </w:rPr>
        <w:t>.2.4条款测量过程的记录要求的要求。属于次要不符合项。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2021年1月至10月，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6.98</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b w:val="0"/>
          <w:bCs/>
          <w:szCs w:val="21"/>
          <w:highlight w:val="none"/>
          <w:lang w:val="en-US" w:eastAsia="zh-CN"/>
        </w:rPr>
        <w:t>2.5级水表1块。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23上午-11月24日上午</w:t>
      </w:r>
      <w:r>
        <w:rPr>
          <w:rFonts w:hint="eastAsia" w:ascii="宋体" w:hAnsi="宋体" w:cs="宋体"/>
          <w:bCs/>
          <w:color w:val="auto"/>
          <w:kern w:val="0"/>
          <w:szCs w:val="21"/>
        </w:rPr>
        <w:t>，对</w:t>
      </w:r>
      <w:r>
        <w:rPr>
          <w:rFonts w:hint="eastAsia" w:ascii="宋体" w:hAnsi="宋体"/>
          <w:color w:val="auto"/>
          <w:szCs w:val="21"/>
          <w:lang w:eastAsia="zh-CN"/>
        </w:rPr>
        <w:t>天津赛恩能源技术股份有限公司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体系远程</w:t>
      </w:r>
      <w:r>
        <w:rPr>
          <w:rFonts w:hint="eastAsia" w:ascii="宋体" w:hAnsi="宋体" w:cs="宋体"/>
          <w:bCs/>
          <w:color w:val="auto"/>
          <w:kern w:val="0"/>
          <w:szCs w:val="21"/>
        </w:rPr>
        <w:t>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天津赛恩能源技术股份有限公司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2021.11.24</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662FE"/>
    <w:rsid w:val="03374A5F"/>
    <w:rsid w:val="049D6929"/>
    <w:rsid w:val="07A22038"/>
    <w:rsid w:val="07BC2655"/>
    <w:rsid w:val="07F6331D"/>
    <w:rsid w:val="081433FF"/>
    <w:rsid w:val="0866484A"/>
    <w:rsid w:val="08AF38B7"/>
    <w:rsid w:val="08C9577B"/>
    <w:rsid w:val="0CC1767E"/>
    <w:rsid w:val="0DE1402D"/>
    <w:rsid w:val="1051458B"/>
    <w:rsid w:val="10FC7F7C"/>
    <w:rsid w:val="145913C3"/>
    <w:rsid w:val="18895737"/>
    <w:rsid w:val="1ACA15A5"/>
    <w:rsid w:val="1D644926"/>
    <w:rsid w:val="1E0679E2"/>
    <w:rsid w:val="20245D89"/>
    <w:rsid w:val="21C517C9"/>
    <w:rsid w:val="2253747B"/>
    <w:rsid w:val="228F589D"/>
    <w:rsid w:val="22A73156"/>
    <w:rsid w:val="238D590A"/>
    <w:rsid w:val="23E3439E"/>
    <w:rsid w:val="259C7022"/>
    <w:rsid w:val="25FE255B"/>
    <w:rsid w:val="261769C3"/>
    <w:rsid w:val="27816C16"/>
    <w:rsid w:val="27954974"/>
    <w:rsid w:val="299E6A98"/>
    <w:rsid w:val="2B030917"/>
    <w:rsid w:val="2C4F0E75"/>
    <w:rsid w:val="2D405380"/>
    <w:rsid w:val="2E9535C2"/>
    <w:rsid w:val="2F3769D8"/>
    <w:rsid w:val="2F98679A"/>
    <w:rsid w:val="2FCC27F9"/>
    <w:rsid w:val="313D2294"/>
    <w:rsid w:val="31647056"/>
    <w:rsid w:val="321A44F5"/>
    <w:rsid w:val="328D7A02"/>
    <w:rsid w:val="32A1519D"/>
    <w:rsid w:val="32AF0A99"/>
    <w:rsid w:val="33A85929"/>
    <w:rsid w:val="33E861D3"/>
    <w:rsid w:val="34A46DF0"/>
    <w:rsid w:val="34D516A9"/>
    <w:rsid w:val="356A4FB1"/>
    <w:rsid w:val="363F5E2D"/>
    <w:rsid w:val="36BD22BD"/>
    <w:rsid w:val="377A715E"/>
    <w:rsid w:val="378D388E"/>
    <w:rsid w:val="3868400B"/>
    <w:rsid w:val="38880CD0"/>
    <w:rsid w:val="39571FC5"/>
    <w:rsid w:val="39EA584B"/>
    <w:rsid w:val="3F903830"/>
    <w:rsid w:val="408706D3"/>
    <w:rsid w:val="44C42B5F"/>
    <w:rsid w:val="49F92A91"/>
    <w:rsid w:val="4A126716"/>
    <w:rsid w:val="4ABD7835"/>
    <w:rsid w:val="4BB943B0"/>
    <w:rsid w:val="4BD16FB0"/>
    <w:rsid w:val="4CF11B91"/>
    <w:rsid w:val="505F1232"/>
    <w:rsid w:val="50FA73B2"/>
    <w:rsid w:val="52977792"/>
    <w:rsid w:val="52D06ACC"/>
    <w:rsid w:val="53E204EF"/>
    <w:rsid w:val="53FD699A"/>
    <w:rsid w:val="548C10AE"/>
    <w:rsid w:val="553819D4"/>
    <w:rsid w:val="55846126"/>
    <w:rsid w:val="56A52AE7"/>
    <w:rsid w:val="56AF49FF"/>
    <w:rsid w:val="57961E25"/>
    <w:rsid w:val="57A57D5E"/>
    <w:rsid w:val="57EE0A87"/>
    <w:rsid w:val="583773EE"/>
    <w:rsid w:val="58C779E0"/>
    <w:rsid w:val="58FA7A57"/>
    <w:rsid w:val="5ACA30F8"/>
    <w:rsid w:val="5AD7341B"/>
    <w:rsid w:val="5B4471AA"/>
    <w:rsid w:val="5BED2E50"/>
    <w:rsid w:val="5D8B40D4"/>
    <w:rsid w:val="5E541A14"/>
    <w:rsid w:val="60EE17B6"/>
    <w:rsid w:val="60FF6850"/>
    <w:rsid w:val="61204131"/>
    <w:rsid w:val="612E2E61"/>
    <w:rsid w:val="61880FEB"/>
    <w:rsid w:val="63244996"/>
    <w:rsid w:val="64882719"/>
    <w:rsid w:val="64B23398"/>
    <w:rsid w:val="653A413B"/>
    <w:rsid w:val="65B354C1"/>
    <w:rsid w:val="66B707C5"/>
    <w:rsid w:val="66C76995"/>
    <w:rsid w:val="66DA4EE7"/>
    <w:rsid w:val="678058D7"/>
    <w:rsid w:val="69443018"/>
    <w:rsid w:val="695375A4"/>
    <w:rsid w:val="69DD4616"/>
    <w:rsid w:val="6A3749C6"/>
    <w:rsid w:val="6BC61023"/>
    <w:rsid w:val="6CD356B6"/>
    <w:rsid w:val="6DB43658"/>
    <w:rsid w:val="6E407BC1"/>
    <w:rsid w:val="6E4A2C41"/>
    <w:rsid w:val="6F03617D"/>
    <w:rsid w:val="6FCB3BEE"/>
    <w:rsid w:val="70F168D6"/>
    <w:rsid w:val="71A75E13"/>
    <w:rsid w:val="72FF0D20"/>
    <w:rsid w:val="756C46F1"/>
    <w:rsid w:val="75C30245"/>
    <w:rsid w:val="79880B95"/>
    <w:rsid w:val="7E0A279A"/>
    <w:rsid w:val="7ED83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2021-11-24T02:32:06Z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26855577654D4779AED556AE7C30A6C9</vt:lpwstr>
  </property>
</Properties>
</file>