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rFonts w:hint="eastAsia" w:ascii="宋体" w:hAnsi="宋体" w:eastAsia="宋体" w:cs="宋体"/>
                <w:sz w:val="21"/>
                <w:szCs w:val="21"/>
              </w:rPr>
            </w:pPr>
            <w:r>
              <w:rPr>
                <w:rFonts w:hint="eastAsia" w:ascii="宋体" w:hAnsi="宋体" w:eastAsia="宋体" w:cs="宋体"/>
                <w:sz w:val="21"/>
                <w:szCs w:val="21"/>
              </w:rPr>
              <w:t>过程与活动、</w:t>
            </w:r>
          </w:p>
          <w:p>
            <w:pPr>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10004" w:type="dxa"/>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rPr>
              <w:t>受审核部门：管理层</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主管领导：</w:t>
            </w:r>
            <w:r>
              <w:rPr>
                <w:rFonts w:hint="eastAsia" w:ascii="宋体" w:hAnsi="宋体" w:cs="宋体"/>
                <w:sz w:val="21"/>
                <w:szCs w:val="21"/>
                <w:lang w:val="en-US" w:eastAsia="zh-CN"/>
              </w:rPr>
              <w:t>钟圣裕</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陪同人员：钟平燕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004" w:type="dxa"/>
            <w:vAlign w:val="center"/>
          </w:tcPr>
          <w:p>
            <w:pPr>
              <w:spacing w:before="120"/>
              <w:rPr>
                <w:rFonts w:hint="default"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cs="宋体"/>
                <w:sz w:val="21"/>
                <w:szCs w:val="21"/>
                <w:lang w:val="en-US" w:eastAsia="zh-CN"/>
              </w:rPr>
              <w:t>强兴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审核时间：20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cs="宋体"/>
                <w:sz w:val="21"/>
                <w:szCs w:val="21"/>
                <w:lang w:val="en-US" w:eastAsia="zh-CN"/>
              </w:rPr>
              <w:t>11</w:t>
            </w:r>
            <w:r>
              <w:rPr>
                <w:rFonts w:hint="eastAsia" w:ascii="宋体" w:hAnsi="宋体" w:eastAsia="宋体" w:cs="宋体"/>
                <w:sz w:val="21"/>
                <w:szCs w:val="21"/>
              </w:rPr>
              <w:t>.</w:t>
            </w:r>
            <w:r>
              <w:rPr>
                <w:rFonts w:hint="eastAsia" w:ascii="宋体" w:hAnsi="宋体" w:cs="宋体"/>
                <w:sz w:val="21"/>
                <w:szCs w:val="21"/>
                <w:lang w:val="en-US" w:eastAsia="zh-CN"/>
              </w:rPr>
              <w:t>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审核条款：</w:t>
            </w:r>
          </w:p>
          <w:p>
            <w:pPr>
              <w:tabs>
                <w:tab w:val="left" w:pos="709"/>
              </w:tabs>
              <w:ind w:right="57"/>
              <w:jc w:val="left"/>
              <w:rPr>
                <w:rFonts w:ascii="宋体" w:hAnsi="宋体"/>
                <w:b/>
                <w:bCs/>
                <w:sz w:val="21"/>
                <w:szCs w:val="21"/>
              </w:rPr>
            </w:pPr>
            <w:r>
              <w:rPr>
                <w:rFonts w:hint="eastAsia" w:ascii="宋体" w:hAnsi="宋体"/>
                <w:b/>
                <w:bCs/>
                <w:sz w:val="21"/>
                <w:szCs w:val="21"/>
              </w:rPr>
              <w:t>EMS：4.1,4.2 ,4.3,4.4, 5.1, 5.2, 5.3,6.1 ,6.2,7.1,7.4,9.3,10.1,10.3,</w:t>
            </w:r>
          </w:p>
          <w:p>
            <w:pPr>
              <w:adjustRightInd w:val="0"/>
              <w:snapToGrid w:val="0"/>
              <w:spacing w:line="280" w:lineRule="exact"/>
              <w:ind w:right="105" w:rightChars="50"/>
              <w:textAlignment w:val="baseline"/>
              <w:rPr>
                <w:rFonts w:ascii="宋体" w:hAnsi="宋体" w:cs="Arial"/>
                <w:sz w:val="21"/>
                <w:szCs w:val="21"/>
                <w:u w:val="single"/>
              </w:rPr>
            </w:pPr>
            <w:r>
              <w:rPr>
                <w:rFonts w:hint="eastAsia" w:ascii="宋体" w:hAnsi="宋体" w:cs="Arial"/>
                <w:sz w:val="21"/>
                <w:szCs w:val="21"/>
                <w:u w:val="single"/>
              </w:rPr>
              <w:t>国家/地方监督抽查情况；相关方投诉及处理情况；</w:t>
            </w:r>
          </w:p>
          <w:p>
            <w:pPr>
              <w:spacing w:line="360" w:lineRule="auto"/>
              <w:rPr>
                <w:rFonts w:hint="eastAsia" w:ascii="宋体" w:hAnsi="宋体" w:eastAsia="宋体" w:cs="宋体"/>
                <w:sz w:val="21"/>
                <w:szCs w:val="21"/>
                <w:lang w:eastAsia="zh-CN"/>
              </w:rPr>
            </w:pPr>
            <w:r>
              <w:rPr>
                <w:rFonts w:hint="eastAsia" w:ascii="宋体" w:hAnsi="宋体" w:cs="Arial"/>
                <w:sz w:val="21"/>
                <w:szCs w:val="21"/>
                <w:u w:val="single"/>
              </w:rPr>
              <w:t>验证企业相关资质证明的有效性，</w:t>
            </w:r>
            <w:r>
              <w:rPr>
                <w:rFonts w:hint="eastAsia" w:ascii="宋体" w:hAnsi="宋体" w:cs="Arial"/>
                <w:sz w:val="21"/>
                <w:szCs w:val="21"/>
                <w:u w:val="single"/>
                <w:lang w:val="en-US" w:eastAsia="zh-CN"/>
              </w:rPr>
              <w:t>一阶段</w:t>
            </w:r>
            <w:r>
              <w:rPr>
                <w:rFonts w:hint="eastAsia" w:ascii="宋体" w:hAnsi="宋体" w:cs="Arial"/>
                <w:sz w:val="21"/>
                <w:szCs w:val="21"/>
                <w:u w:val="single"/>
              </w:rPr>
              <w:t>审核不符合验证；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line="360" w:lineRule="auto"/>
              <w:rPr>
                <w:rFonts w:ascii="宋体" w:hAnsi="宋体" w:cs="宋体"/>
                <w:szCs w:val="21"/>
              </w:rPr>
            </w:pPr>
            <w:r>
              <w:rPr>
                <w:rFonts w:hint="eastAsia" w:ascii="宋体" w:hAnsi="宋体" w:cs="宋体"/>
                <w:szCs w:val="21"/>
              </w:rPr>
              <w:t>组织及其环境;</w:t>
            </w:r>
          </w:p>
          <w:p>
            <w:pPr>
              <w:spacing w:line="360" w:lineRule="auto"/>
              <w:rPr>
                <w:rFonts w:ascii="宋体" w:hAnsi="宋体" w:cs="宋体"/>
                <w:szCs w:val="21"/>
              </w:rPr>
            </w:pPr>
            <w:r>
              <w:rPr>
                <w:rFonts w:hint="eastAsia" w:ascii="宋体" w:hAnsi="宋体" w:cs="宋体"/>
                <w:szCs w:val="21"/>
              </w:rPr>
              <w:t>相关方需求与期望;</w:t>
            </w:r>
          </w:p>
          <w:p>
            <w:pPr>
              <w:spacing w:line="360" w:lineRule="auto"/>
              <w:rPr>
                <w:rFonts w:ascii="宋体" w:hAnsi="宋体" w:cs="宋体"/>
                <w:szCs w:val="21"/>
              </w:rPr>
            </w:pPr>
            <w:r>
              <w:rPr>
                <w:rFonts w:hint="eastAsia" w:ascii="宋体" w:hAnsi="宋体" w:cs="宋体"/>
                <w:szCs w:val="21"/>
              </w:rPr>
              <w:t>确定体系范围;</w:t>
            </w:r>
          </w:p>
          <w:p>
            <w:pPr>
              <w:spacing w:line="360" w:lineRule="auto"/>
              <w:rPr>
                <w:rFonts w:ascii="宋体" w:hAnsi="宋体" w:cs="宋体"/>
                <w:szCs w:val="21"/>
              </w:rPr>
            </w:pPr>
            <w:r>
              <w:rPr>
                <w:rFonts w:hint="eastAsia" w:ascii="宋体" w:hAnsi="宋体" w:cs="宋体"/>
                <w:szCs w:val="21"/>
              </w:rPr>
              <w:t>体系及其过程;</w:t>
            </w:r>
          </w:p>
          <w:p>
            <w:pPr>
              <w:spacing w:line="360" w:lineRule="auto"/>
              <w:rPr>
                <w:rFonts w:ascii="宋体" w:hAnsi="宋体" w:cs="宋体"/>
                <w:szCs w:val="21"/>
              </w:rPr>
            </w:pPr>
            <w:r>
              <w:rPr>
                <w:rFonts w:hint="eastAsia" w:ascii="宋体" w:hAnsi="宋体" w:cs="宋体"/>
                <w:szCs w:val="21"/>
              </w:rPr>
              <w:t>总要求</w:t>
            </w:r>
          </w:p>
          <w:p>
            <w:pPr>
              <w:spacing w:line="360" w:lineRule="auto"/>
            </w:pPr>
          </w:p>
        </w:tc>
        <w:tc>
          <w:tcPr>
            <w:tcW w:w="960" w:type="dxa"/>
          </w:tcPr>
          <w:p>
            <w:pPr>
              <w:adjustRightInd w:val="0"/>
              <w:snapToGrid w:val="0"/>
              <w:spacing w:line="360" w:lineRule="auto"/>
              <w:rPr>
                <w:rFonts w:hint="eastAsia" w:ascii="宋体" w:hAnsi="宋体" w:cs="宋体"/>
                <w:szCs w:val="21"/>
              </w:rPr>
            </w:pPr>
            <w:r>
              <w:rPr>
                <w:rFonts w:hint="eastAsia" w:ascii="宋体" w:hAnsi="宋体" w:cs="宋体"/>
                <w:szCs w:val="21"/>
              </w:rPr>
              <w:t>E:</w:t>
            </w:r>
          </w:p>
          <w:p>
            <w:pPr>
              <w:adjustRightInd w:val="0"/>
              <w:snapToGrid w:val="0"/>
              <w:spacing w:line="360" w:lineRule="auto"/>
              <w:rPr>
                <w:rFonts w:hint="eastAsia" w:ascii="宋体" w:hAnsi="宋体" w:cs="宋体"/>
                <w:szCs w:val="21"/>
              </w:rPr>
            </w:pPr>
            <w:r>
              <w:rPr>
                <w:rFonts w:hint="eastAsia" w:ascii="宋体" w:hAnsi="宋体" w:cs="宋体"/>
                <w:szCs w:val="21"/>
              </w:rPr>
              <w:t>4.1;</w:t>
            </w: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r>
              <w:rPr>
                <w:rFonts w:hint="eastAsia" w:ascii="宋体" w:hAnsi="宋体" w:cs="宋体"/>
                <w:szCs w:val="21"/>
              </w:rPr>
              <w:t>4.2;</w:t>
            </w:r>
          </w:p>
          <w:p>
            <w:pPr>
              <w:pStyle w:val="3"/>
              <w:rPr>
                <w:rFonts w:hint="eastAsia" w:ascii="宋体" w:hAnsi="宋体" w:cs="宋体"/>
                <w:szCs w:val="21"/>
              </w:rPr>
            </w:pPr>
          </w:p>
          <w:p>
            <w:pPr>
              <w:pStyle w:val="4"/>
              <w:rPr>
                <w:rFonts w:hint="eastAsia" w:ascii="宋体" w:hAnsi="宋体" w:cs="宋体"/>
                <w:szCs w:val="21"/>
              </w:rPr>
            </w:pPr>
          </w:p>
          <w:p>
            <w:pPr>
              <w:pStyle w:val="4"/>
              <w:rPr>
                <w:rFonts w:hint="eastAsia" w:ascii="宋体" w:hAnsi="宋体" w:cs="宋体"/>
                <w:szCs w:val="21"/>
              </w:rPr>
            </w:pPr>
          </w:p>
          <w:p>
            <w:pPr>
              <w:pStyle w:val="4"/>
              <w:rPr>
                <w:rFonts w:hint="eastAsia" w:ascii="宋体" w:hAnsi="宋体" w:cs="宋体"/>
                <w:szCs w:val="21"/>
              </w:rPr>
            </w:pPr>
          </w:p>
          <w:p>
            <w:pPr>
              <w:pStyle w:val="4"/>
              <w:rPr>
                <w:rFonts w:hint="eastAsia" w:ascii="宋体" w:hAnsi="宋体" w:cs="宋体"/>
                <w:szCs w:val="21"/>
              </w:rPr>
            </w:pPr>
          </w:p>
          <w:p>
            <w:pPr>
              <w:pStyle w:val="4"/>
              <w:rPr>
                <w:rFonts w:hint="eastAsia" w:ascii="宋体" w:hAnsi="宋体" w:cs="宋体"/>
                <w:szCs w:val="21"/>
              </w:rPr>
            </w:pPr>
          </w:p>
          <w:p>
            <w:pPr>
              <w:pStyle w:val="4"/>
              <w:rPr>
                <w:rFonts w:hint="eastAsia" w:ascii="宋体" w:hAnsi="宋体" w:cs="宋体"/>
                <w:szCs w:val="21"/>
              </w:rPr>
            </w:pPr>
          </w:p>
          <w:p>
            <w:pPr>
              <w:adjustRightInd w:val="0"/>
              <w:snapToGrid w:val="0"/>
              <w:spacing w:line="360" w:lineRule="auto"/>
              <w:rPr>
                <w:rFonts w:hint="eastAsia" w:ascii="宋体" w:hAnsi="宋体" w:cs="宋体"/>
                <w:szCs w:val="21"/>
              </w:rPr>
            </w:pPr>
            <w:r>
              <w:rPr>
                <w:rFonts w:hint="eastAsia" w:ascii="宋体" w:hAnsi="宋体" w:cs="宋体"/>
                <w:szCs w:val="21"/>
              </w:rPr>
              <w:t>4.3;</w:t>
            </w: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4.4；</w:t>
            </w: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p>
          <w:p>
            <w:pPr>
              <w:adjustRightInd w:val="0"/>
              <w:snapToGrid w:val="0"/>
              <w:spacing w:line="360" w:lineRule="auto"/>
              <w:rPr>
                <w:rFonts w:ascii="宋体" w:hAnsi="宋体" w:cs="宋体"/>
                <w:szCs w:val="21"/>
              </w:rPr>
            </w:pPr>
          </w:p>
          <w:p>
            <w:pPr>
              <w:spacing w:line="360" w:lineRule="auto"/>
            </w:pPr>
          </w:p>
        </w:tc>
        <w:tc>
          <w:tcPr>
            <w:tcW w:w="10004" w:type="dxa"/>
          </w:tcPr>
          <w:p>
            <w:pPr>
              <w:spacing w:line="360" w:lineRule="auto"/>
              <w:rPr>
                <w:rFonts w:ascii="宋体" w:hAnsi="宋体"/>
                <w:szCs w:val="21"/>
              </w:rPr>
            </w:pPr>
            <w:r>
              <w:rPr>
                <w:rFonts w:hint="eastAsia" w:ascii="宋体" w:hAnsi="宋体"/>
                <w:szCs w:val="21"/>
              </w:rPr>
              <w:t>公司在管理手册和制定的《</w:t>
            </w:r>
            <w:r>
              <w:rPr>
                <w:rFonts w:hint="eastAsia" w:ascii="宋体" w:hAnsi="宋体"/>
                <w:szCs w:val="21"/>
                <w:lang w:eastAsia="zh-CN"/>
              </w:rPr>
              <w:t>风险和机遇的应对控制程序</w:t>
            </w:r>
            <w:r>
              <w:rPr>
                <w:rFonts w:hint="eastAsia" w:ascii="宋体" w:hAnsi="宋体"/>
                <w:szCs w:val="21"/>
              </w:rPr>
              <w:t>》中，确定了对公司有利的内外部环境因素，对公司不利的内、外部因素有：市场竞争非常激烈，国家和政府对企业环保要求提高等。</w:t>
            </w:r>
          </w:p>
          <w:p>
            <w:pPr>
              <w:spacing w:line="360" w:lineRule="auto"/>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公司确定的相关方有员工、业主、政府机构、审核机构、供方等。</w:t>
            </w:r>
          </w:p>
          <w:p>
            <w:pPr>
              <w:spacing w:line="360" w:lineRule="auto"/>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spacing w:line="360" w:lineRule="auto"/>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spacing w:line="360" w:lineRule="auto"/>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spacing w:line="360" w:lineRule="auto"/>
              <w:rPr>
                <w:rFonts w:ascii="宋体" w:hAnsi="宋体"/>
                <w:szCs w:val="21"/>
              </w:rPr>
            </w:pPr>
          </w:p>
          <w:p>
            <w:pPr>
              <w:spacing w:line="360" w:lineRule="auto"/>
              <w:jc w:val="left"/>
              <w:rPr>
                <w:szCs w:val="21"/>
              </w:rPr>
            </w:pPr>
            <w:r>
              <w:rPr>
                <w:rFonts w:hint="eastAsia"/>
                <w:szCs w:val="21"/>
              </w:rPr>
              <w:t>公司环境管理体系的范围：</w:t>
            </w:r>
          </w:p>
          <w:p>
            <w:pPr>
              <w:spacing w:line="360" w:lineRule="auto"/>
              <w:jc w:val="left"/>
              <w:rPr>
                <w:rFonts w:hint="eastAsia" w:ascii="宋体" w:hAnsi="宋体"/>
                <w:b/>
                <w:szCs w:val="21"/>
              </w:rPr>
            </w:pPr>
            <w:r>
              <w:rPr>
                <w:rFonts w:hint="eastAsia" w:ascii="宋体" w:hAnsi="宋体"/>
                <w:b/>
                <w:szCs w:val="21"/>
              </w:rPr>
              <w:t>E：</w:t>
            </w:r>
            <w:bookmarkStart w:id="0" w:name="审核范围"/>
            <w:r>
              <w:rPr>
                <w:sz w:val="20"/>
              </w:rPr>
              <w:t>液晶显示屏的销售所涉及场所的相关环境管理活动</w:t>
            </w:r>
            <w:bookmarkEnd w:id="0"/>
          </w:p>
          <w:p>
            <w:pPr>
              <w:spacing w:line="360" w:lineRule="auto"/>
              <w:rPr>
                <w:rFonts w:ascii="宋体" w:hAnsi="宋体"/>
                <w:szCs w:val="21"/>
              </w:rPr>
            </w:pPr>
            <w:r>
              <w:rPr>
                <w:szCs w:val="21"/>
              </w:rPr>
              <w:t>组织依据标准的要求建立、实施、维护管理体系，符合标准要求。</w:t>
            </w:r>
          </w:p>
          <w:p>
            <w:pPr>
              <w:spacing w:line="360" w:lineRule="auto"/>
              <w:rPr>
                <w:rFonts w:ascii="宋体" w:hAnsi="宋体"/>
                <w:szCs w:val="21"/>
              </w:rPr>
            </w:pPr>
          </w:p>
          <w:p>
            <w:pPr>
              <w:spacing w:line="360" w:lineRule="auto"/>
              <w:ind w:firstLine="210" w:firstLineChars="100"/>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管理一体化的管理体系，以GB/T19001-2016标准为主线，以“过程方法”为基础，融入了GB/T24001-2016标准要求，并明确了过程顺序和相互作用以及过程有效运作和控制所需的准则和方法。制定有《</w:t>
            </w:r>
            <w:r>
              <w:rPr>
                <w:rFonts w:hint="eastAsia" w:ascii="宋体" w:hAnsi="宋体"/>
                <w:szCs w:val="21"/>
                <w:lang w:eastAsia="zh-CN"/>
              </w:rPr>
              <w:t>风险和机遇的应对控制程序</w:t>
            </w:r>
            <w:r>
              <w:rPr>
                <w:rFonts w:hint="eastAsia" w:ascii="宋体" w:hAnsi="宋体"/>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80" w:lineRule="auto"/>
              <w:rPr>
                <w:rFonts w:ascii="宋体" w:hAnsi="宋体" w:cs="宋体"/>
                <w:szCs w:val="21"/>
              </w:rPr>
            </w:pPr>
            <w:r>
              <w:rPr>
                <w:rFonts w:hint="eastAsia" w:ascii="宋体" w:hAnsi="宋体" w:cs="宋体"/>
                <w:szCs w:val="21"/>
              </w:rPr>
              <w:t>领导作用与承诺</w:t>
            </w:r>
          </w:p>
          <w:p>
            <w:pPr>
              <w:spacing w:line="480" w:lineRule="auto"/>
            </w:pPr>
          </w:p>
        </w:tc>
        <w:tc>
          <w:tcPr>
            <w:tcW w:w="960" w:type="dxa"/>
          </w:tcPr>
          <w:p>
            <w:pPr>
              <w:spacing w:line="480" w:lineRule="auto"/>
              <w:jc w:val="left"/>
              <w:rPr>
                <w:rFonts w:ascii="宋体" w:hAnsi="宋体" w:cs="宋体"/>
                <w:szCs w:val="21"/>
              </w:rPr>
            </w:pPr>
            <w:r>
              <w:rPr>
                <w:rFonts w:hint="eastAsia" w:ascii="宋体" w:hAnsi="宋体" w:cs="宋体"/>
                <w:szCs w:val="21"/>
              </w:rPr>
              <w:t>E</w:t>
            </w:r>
            <w:r>
              <w:rPr>
                <w:rFonts w:hint="eastAsia" w:ascii="宋体" w:hAnsi="宋体" w:cs="宋体"/>
                <w:szCs w:val="21"/>
                <w:lang w:eastAsia="zh-CN"/>
              </w:rPr>
              <w:t>：</w:t>
            </w:r>
            <w:bookmarkStart w:id="1" w:name="_GoBack"/>
            <w:bookmarkEnd w:id="1"/>
            <w:r>
              <w:rPr>
                <w:rFonts w:hint="eastAsia" w:ascii="宋体" w:hAnsi="宋体" w:cs="宋体"/>
                <w:szCs w:val="21"/>
              </w:rPr>
              <w:t>5.1</w:t>
            </w:r>
          </w:p>
          <w:p>
            <w:pPr>
              <w:spacing w:line="480" w:lineRule="auto"/>
              <w:jc w:val="left"/>
              <w:rPr>
                <w:rFonts w:ascii="宋体" w:hAnsi="宋体" w:cs="宋体"/>
                <w:szCs w:val="21"/>
              </w:rPr>
            </w:pPr>
          </w:p>
        </w:tc>
        <w:tc>
          <w:tcPr>
            <w:tcW w:w="10004" w:type="dxa"/>
          </w:tcPr>
          <w:p>
            <w:pPr>
              <w:spacing w:line="360" w:lineRule="auto"/>
              <w:jc w:val="left"/>
              <w:rPr>
                <w:rFonts w:hint="eastAsia" w:ascii="宋体" w:hAnsi="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钟圣裕</w:t>
            </w:r>
            <w:r>
              <w:rPr>
                <w:rFonts w:hint="eastAsia" w:ascii="宋体" w:hAnsi="宋体" w:cs="宋体"/>
                <w:szCs w:val="21"/>
              </w:rPr>
              <w:t>；管代：</w:t>
            </w:r>
            <w:r>
              <w:rPr>
                <w:rFonts w:hint="eastAsia" w:ascii="宋体" w:hAnsi="宋体" w:cs="宋体"/>
                <w:szCs w:val="21"/>
                <w:lang w:val="en-US" w:eastAsia="zh-CN"/>
              </w:rPr>
              <w:t>钟平燕</w:t>
            </w:r>
          </w:p>
          <w:p>
            <w:pPr>
              <w:spacing w:line="360" w:lineRule="auto"/>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360" w:lineRule="auto"/>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jc w:val="left"/>
              <w:rPr>
                <w:rFonts w:ascii="宋体" w:hAnsi="宋体" w:cs="宋体"/>
                <w:szCs w:val="21"/>
              </w:rPr>
            </w:pPr>
            <w:r>
              <w:rPr>
                <w:rFonts w:hint="eastAsia" w:ascii="宋体" w:hAnsi="宋体" w:cs="宋体"/>
                <w:szCs w:val="21"/>
              </w:rPr>
              <w:t xml:space="preserve">2、制定和发布公司自身管理方针； </w:t>
            </w:r>
          </w:p>
          <w:p>
            <w:pPr>
              <w:spacing w:line="360" w:lineRule="auto"/>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360" w:lineRule="auto"/>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360" w:lineRule="auto"/>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宋体" w:hAnsi="宋体" w:cs="宋体"/>
                <w:szCs w:val="21"/>
              </w:rPr>
            </w:pPr>
          </w:p>
          <w:p>
            <w:pPr>
              <w:rPr>
                <w:rFonts w:hint="eastAsia" w:ascii="宋体" w:hAnsi="宋体" w:cs="宋体"/>
                <w:szCs w:val="21"/>
              </w:rPr>
            </w:pPr>
          </w:p>
          <w:p>
            <w:pPr>
              <w:rPr>
                <w:b/>
                <w:szCs w:val="21"/>
              </w:rPr>
            </w:pPr>
            <w:r>
              <w:rPr>
                <w:rFonts w:hint="eastAsia" w:ascii="宋体" w:hAnsi="宋体" w:cs="宋体"/>
                <w:szCs w:val="21"/>
              </w:rPr>
              <w:t>方针</w:t>
            </w:r>
          </w:p>
        </w:tc>
        <w:tc>
          <w:tcPr>
            <w:tcW w:w="960" w:type="dxa"/>
          </w:tcPr>
          <w:p>
            <w:pPr>
              <w:rPr>
                <w:rFonts w:hint="eastAsia" w:ascii="宋体" w:hAnsi="宋体" w:cs="宋体"/>
                <w:szCs w:val="21"/>
              </w:rPr>
            </w:pPr>
          </w:p>
          <w:p>
            <w:pPr>
              <w:rPr>
                <w:rFonts w:hint="default" w:ascii="宋体" w:hAnsi="宋体" w:cs="宋体"/>
                <w:szCs w:val="21"/>
                <w:lang w:val="en-US" w:eastAsia="zh-CN"/>
              </w:rPr>
            </w:pPr>
            <w:r>
              <w:rPr>
                <w:rFonts w:hint="eastAsia" w:ascii="宋体" w:hAnsi="宋体" w:cs="宋体"/>
                <w:szCs w:val="21"/>
              </w:rPr>
              <w:t>E</w:t>
            </w:r>
            <w:r>
              <w:rPr>
                <w:rFonts w:hint="eastAsia" w:ascii="宋体" w:hAnsi="宋体" w:cs="宋体"/>
                <w:szCs w:val="21"/>
                <w:lang w:val="en-US" w:eastAsia="zh-CN"/>
              </w:rPr>
              <w:t xml:space="preserve"> :</w:t>
            </w:r>
          </w:p>
          <w:p>
            <w:pPr>
              <w:rPr>
                <w:rFonts w:ascii="宋体" w:hAnsi="宋体" w:cs="宋体"/>
                <w:szCs w:val="21"/>
              </w:rPr>
            </w:pPr>
            <w:r>
              <w:rPr>
                <w:rFonts w:hint="eastAsia" w:ascii="宋体" w:hAnsi="宋体" w:cs="宋体"/>
                <w:szCs w:val="21"/>
              </w:rPr>
              <w:t xml:space="preserve">5.2 </w:t>
            </w:r>
          </w:p>
          <w:p>
            <w:pPr>
              <w:rPr>
                <w:b/>
                <w:szCs w:val="21"/>
              </w:rPr>
            </w:pPr>
          </w:p>
        </w:tc>
        <w:tc>
          <w:tcPr>
            <w:tcW w:w="10004" w:type="dxa"/>
          </w:tcPr>
          <w:p>
            <w:pPr>
              <w:spacing w:line="360" w:lineRule="auto"/>
              <w:jc w:val="left"/>
              <w:rPr>
                <w:rFonts w:ascii="宋体" w:hAnsi="宋体" w:cs="宋体"/>
                <w:szCs w:val="21"/>
              </w:rPr>
            </w:pPr>
            <w:r>
              <w:rPr>
                <w:rFonts w:hint="eastAsia" w:ascii="宋体" w:hAnsi="宋体" w:cs="宋体"/>
                <w:b/>
                <w:bCs/>
                <w:szCs w:val="21"/>
              </w:rPr>
              <w:t>环境和职业健康安全管理方针：</w:t>
            </w:r>
            <w:r>
              <w:rPr>
                <w:rFonts w:hint="eastAsia" w:ascii="宋体" w:hAnsi="宋体" w:cs="宋体"/>
                <w:szCs w:val="21"/>
              </w:rPr>
              <w:t xml:space="preserve"> </w:t>
            </w:r>
          </w:p>
          <w:p>
            <w:pPr>
              <w:spacing w:line="560" w:lineRule="exact"/>
              <w:jc w:val="center"/>
              <w:rPr>
                <w:rFonts w:hAnsi="宋体" w:cs="宋体"/>
                <w:szCs w:val="21"/>
              </w:rPr>
            </w:pPr>
            <w:r>
              <w:rPr>
                <w:rFonts w:hint="eastAsia" w:hAnsi="宋体" w:cs="宋体"/>
                <w:szCs w:val="21"/>
              </w:rPr>
              <w:t>“</w:t>
            </w:r>
            <w:r>
              <w:rPr>
                <w:rFonts w:hint="eastAsia" w:ascii="宋体" w:hAnsi="宋体" w:eastAsia="宋体" w:cs="宋体"/>
                <w:b/>
                <w:bCs w:val="0"/>
                <w:color w:val="000000"/>
                <w:sz w:val="28"/>
                <w:szCs w:val="28"/>
                <w:lang w:val="en-US" w:eastAsia="zh-CN"/>
              </w:rPr>
              <w:t>珍惜资源</w:t>
            </w:r>
            <w:r>
              <w:rPr>
                <w:rFonts w:hint="eastAsia" w:ascii="宋体" w:hAnsi="宋体" w:eastAsia="宋体" w:cs="宋体"/>
                <w:b/>
                <w:bCs w:val="0"/>
                <w:color w:val="000000"/>
                <w:sz w:val="28"/>
                <w:szCs w:val="28"/>
              </w:rPr>
              <w:t xml:space="preserve">  保护环境  </w:t>
            </w:r>
            <w:r>
              <w:rPr>
                <w:rFonts w:hint="eastAsia" w:ascii="宋体" w:hAnsi="宋体" w:eastAsia="宋体" w:cs="宋体"/>
                <w:b/>
                <w:bCs w:val="0"/>
                <w:color w:val="000000"/>
                <w:sz w:val="28"/>
                <w:szCs w:val="28"/>
                <w:lang w:val="en-US" w:eastAsia="zh-CN"/>
              </w:rPr>
              <w:t>可持续</w:t>
            </w:r>
            <w:r>
              <w:rPr>
                <w:rFonts w:hint="eastAsia" w:ascii="宋体" w:hAnsi="宋体" w:eastAsia="宋体" w:cs="宋体"/>
                <w:b/>
                <w:bCs w:val="0"/>
                <w:color w:val="000000"/>
                <w:sz w:val="28"/>
                <w:szCs w:val="28"/>
              </w:rPr>
              <w:t>发展</w:t>
            </w:r>
            <w:r>
              <w:rPr>
                <w:rFonts w:hint="eastAsia" w:hAnsi="宋体" w:cs="宋体"/>
                <w:szCs w:val="21"/>
              </w:rPr>
              <w:t>”。</w:t>
            </w:r>
          </w:p>
          <w:p>
            <w:pPr>
              <w:spacing w:line="360" w:lineRule="auto"/>
              <w:jc w:val="left"/>
              <w:rPr>
                <w:rFonts w:ascii="宋体" w:hAnsi="宋体" w:cs="宋体"/>
                <w:szCs w:val="21"/>
              </w:rPr>
            </w:pPr>
            <w:r>
              <w:rPr>
                <w:rFonts w:hint="eastAsia" w:ascii="宋体" w:hAnsi="宋体" w:cs="宋体"/>
                <w:szCs w:val="21"/>
              </w:rPr>
              <w:t>其内涵包含了：</w:t>
            </w:r>
          </w:p>
          <w:p>
            <w:pPr>
              <w:spacing w:line="360" w:lineRule="auto"/>
              <w:jc w:val="left"/>
              <w:rPr>
                <w:rFonts w:hint="eastAsia" w:ascii="宋体" w:hAnsi="宋体" w:cs="宋体"/>
                <w:szCs w:val="21"/>
              </w:rPr>
            </w:pPr>
            <w:r>
              <w:rPr>
                <w:rFonts w:hint="eastAsia" w:ascii="宋体" w:hAnsi="宋体" w:cs="宋体"/>
                <w:szCs w:val="21"/>
              </w:rPr>
              <w:t>a).以人为本 关爱生命：创造良好、健康的工作环境，确保员工和工作场所内所有人员的健康与安全。</w:t>
            </w:r>
          </w:p>
          <w:p>
            <w:pPr>
              <w:spacing w:line="360" w:lineRule="auto"/>
              <w:jc w:val="left"/>
              <w:rPr>
                <w:rFonts w:hint="eastAsia" w:ascii="宋体" w:hAnsi="宋体" w:cs="宋体"/>
                <w:szCs w:val="21"/>
              </w:rPr>
            </w:pPr>
            <w:r>
              <w:rPr>
                <w:rFonts w:hint="eastAsia" w:ascii="宋体" w:hAnsi="宋体" w:cs="宋体"/>
                <w:szCs w:val="21"/>
              </w:rPr>
              <w:t>b).保护环境 珍惜资源：降低资源和能源消耗，保护环境，实现环境和谐。</w:t>
            </w:r>
          </w:p>
          <w:p>
            <w:pPr>
              <w:spacing w:line="360" w:lineRule="auto"/>
              <w:jc w:val="left"/>
              <w:rPr>
                <w:rFonts w:hint="eastAsia" w:ascii="宋体" w:hAnsi="宋体" w:cs="宋体"/>
                <w:szCs w:val="21"/>
              </w:rPr>
            </w:pPr>
            <w:r>
              <w:rPr>
                <w:rFonts w:hint="eastAsia" w:ascii="宋体" w:hAnsi="宋体" w:cs="宋体"/>
                <w:szCs w:val="21"/>
                <w:lang w:val="en-US" w:eastAsia="zh-CN"/>
              </w:rPr>
              <w:t>C</w:t>
            </w:r>
            <w:r>
              <w:rPr>
                <w:rFonts w:hint="eastAsia" w:ascii="宋体" w:hAnsi="宋体" w:cs="宋体"/>
                <w:szCs w:val="21"/>
              </w:rPr>
              <w:t>).和谐发展：遵守国家、地方有关环境、职业健康安全法律法规和其他要求，执行国家、行业及地方有关环境标准；加强沟通、增强意识、确保落实，充分获取员工和相关方的支持、理解和建议，持续改进环境管理水平，不断提高环境绩效。</w:t>
            </w:r>
          </w:p>
          <w:p>
            <w:pPr>
              <w:spacing w:line="360" w:lineRule="auto"/>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360" w:lineRule="auto"/>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360" w:lineRule="auto"/>
              <w:jc w:val="left"/>
              <w:rPr>
                <w:rFonts w:ascii="宋体" w:hAnsi="宋体" w:cs="宋体"/>
                <w:szCs w:val="21"/>
              </w:rPr>
            </w:pPr>
            <w:r>
              <w:rPr>
                <w:rFonts w:hint="eastAsia" w:ascii="宋体" w:hAnsi="宋体" w:cs="宋体"/>
                <w:szCs w:val="21"/>
              </w:rPr>
              <w:t>E管理方针在手册上进行了确定和发布，并通过文件发放的形式发放至各部门、给员工进行了宣传培训。</w:t>
            </w:r>
          </w:p>
          <w:p>
            <w:pPr>
              <w:spacing w:line="360" w:lineRule="auto"/>
              <w:jc w:val="left"/>
              <w:rPr>
                <w:rFonts w:ascii="宋体" w:hAnsi="宋体" w:cs="宋体"/>
                <w:szCs w:val="21"/>
              </w:rPr>
            </w:pPr>
            <w:r>
              <w:rPr>
                <w:rFonts w:hint="eastAsia" w:ascii="宋体" w:hAnsi="宋体" w:cs="宋体"/>
                <w:szCs w:val="21"/>
              </w:rPr>
              <w:t xml:space="preserve"> E方针对外进行了发布。</w:t>
            </w:r>
          </w:p>
          <w:p>
            <w:pPr>
              <w:spacing w:line="360" w:lineRule="auto"/>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360" w:lineRule="auto"/>
              <w:jc w:val="left"/>
              <w:rPr>
                <w:rFonts w:ascii="宋体" w:hAnsi="宋体" w:cs="宋体"/>
                <w:szCs w:val="21"/>
              </w:rPr>
            </w:pPr>
            <w:r>
              <w:rPr>
                <w:rFonts w:hint="eastAsia" w:ascii="宋体" w:hAnsi="宋体" w:cs="宋体"/>
                <w:szCs w:val="21"/>
              </w:rPr>
              <w:t>企业的E方针的内容和管理基本符合标准和法规要求。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tcPr>
          <w:p>
            <w:pPr>
              <w:adjustRightInd w:val="0"/>
              <w:snapToGrid w:val="0"/>
              <w:spacing w:line="360" w:lineRule="auto"/>
              <w:rPr>
                <w:rFonts w:hint="eastAsia"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组织的角色、职责和权限；</w:t>
            </w:r>
          </w:p>
          <w:p>
            <w:pPr>
              <w:adjustRightInd w:val="0"/>
              <w:snapToGrid w:val="0"/>
              <w:spacing w:line="360" w:lineRule="auto"/>
              <w:rPr>
                <w:b/>
                <w:szCs w:val="21"/>
              </w:rPr>
            </w:pPr>
          </w:p>
        </w:tc>
        <w:tc>
          <w:tcPr>
            <w:tcW w:w="960" w:type="dxa"/>
          </w:tcPr>
          <w:p>
            <w:pPr>
              <w:spacing w:line="360" w:lineRule="auto"/>
              <w:rPr>
                <w:rFonts w:hint="eastAsia" w:ascii="宋体" w:hAnsi="宋体" w:cs="宋体"/>
                <w:szCs w:val="21"/>
              </w:rPr>
            </w:pPr>
          </w:p>
          <w:p>
            <w:pPr>
              <w:spacing w:line="360" w:lineRule="auto"/>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w:t>
            </w:r>
            <w:r>
              <w:rPr>
                <w:rFonts w:hint="eastAsia" w:ascii="宋体" w:hAnsi="宋体" w:cs="宋体"/>
                <w:szCs w:val="21"/>
              </w:rPr>
              <w:t xml:space="preserve">5.3 </w:t>
            </w:r>
          </w:p>
          <w:p>
            <w:pPr>
              <w:spacing w:line="360" w:lineRule="auto"/>
              <w:rPr>
                <w:b/>
                <w:szCs w:val="21"/>
              </w:rPr>
            </w:pPr>
          </w:p>
        </w:tc>
        <w:tc>
          <w:tcPr>
            <w:tcW w:w="10004" w:type="dxa"/>
          </w:tcPr>
          <w:p>
            <w:pPr>
              <w:adjustRightInd w:val="0"/>
              <w:snapToGrid w:val="0"/>
              <w:spacing w:line="360" w:lineRule="auto"/>
              <w:jc w:val="left"/>
              <w:rPr>
                <w:rFonts w:hint="eastAsia"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p>
            <w:pPr>
              <w:adjustRightInd w:val="0"/>
              <w:snapToGrid w:val="0"/>
              <w:spacing w:line="360" w:lineRule="auto"/>
              <w:jc w:val="left"/>
              <w:rPr>
                <w:rFonts w:hint="eastAsia" w:ascii="宋体" w:hAnsi="宋体" w:cs="宋体"/>
                <w:szCs w:val="21"/>
              </w:rPr>
            </w:pPr>
            <w:r>
              <w:rPr>
                <w:rFonts w:hint="eastAsia" w:ascii="宋体" w:hAnsi="宋体" w:cs="宋体"/>
                <w:szCs w:val="21"/>
                <w:lang w:val="en-US" w:eastAsia="zh-CN"/>
              </w:rPr>
              <w:t>总经理</w:t>
            </w:r>
            <w:r>
              <w:rPr>
                <w:rFonts w:hint="eastAsia" w:ascii="宋体" w:hAnsi="宋体" w:cs="宋体"/>
                <w:szCs w:val="21"/>
              </w:rPr>
              <w:t>任命</w:t>
            </w:r>
            <w:r>
              <w:rPr>
                <w:rFonts w:hint="eastAsia" w:ascii="宋体" w:hAnsi="宋体" w:cs="宋体"/>
                <w:szCs w:val="21"/>
                <w:lang w:val="en-US" w:eastAsia="zh-CN"/>
              </w:rPr>
              <w:t>孙惠娟</w:t>
            </w:r>
            <w:r>
              <w:rPr>
                <w:rFonts w:hint="eastAsia" w:ascii="宋体" w:hAnsi="宋体" w:cs="宋体"/>
                <w:szCs w:val="21"/>
              </w:rPr>
              <w:t>为环境管理体系负责人，其职责和权限如下：</w:t>
            </w:r>
          </w:p>
          <w:p>
            <w:pPr>
              <w:adjustRightInd w:val="0"/>
              <w:snapToGrid w:val="0"/>
              <w:spacing w:line="360" w:lineRule="auto"/>
              <w:jc w:val="left"/>
              <w:rPr>
                <w:rFonts w:hint="eastAsia" w:ascii="宋体" w:hAnsi="宋体" w:cs="宋体"/>
                <w:szCs w:val="21"/>
              </w:rPr>
            </w:pPr>
            <w:r>
              <w:rPr>
                <w:rFonts w:hint="eastAsia" w:ascii="宋体" w:hAnsi="宋体" w:cs="宋体"/>
                <w:szCs w:val="21"/>
              </w:rPr>
              <w:t>a) 确保环境管理体系符合本标准的要求；</w:t>
            </w:r>
          </w:p>
          <w:p>
            <w:pPr>
              <w:adjustRightInd w:val="0"/>
              <w:snapToGrid w:val="0"/>
              <w:spacing w:line="360" w:lineRule="auto"/>
              <w:jc w:val="left"/>
              <w:rPr>
                <w:rFonts w:hint="eastAsia" w:ascii="宋体" w:hAnsi="宋体" w:cs="宋体"/>
                <w:szCs w:val="21"/>
              </w:rPr>
            </w:pPr>
            <w:r>
              <w:rPr>
                <w:rFonts w:hint="eastAsia" w:ascii="宋体" w:hAnsi="宋体" w:cs="宋体"/>
                <w:szCs w:val="21"/>
              </w:rPr>
              <w:t>b) 确保过程相互作用并产生期望的结果；</w:t>
            </w:r>
          </w:p>
          <w:p>
            <w:pPr>
              <w:adjustRightInd w:val="0"/>
              <w:snapToGrid w:val="0"/>
              <w:spacing w:line="360" w:lineRule="auto"/>
              <w:jc w:val="left"/>
              <w:rPr>
                <w:rFonts w:hint="eastAsia" w:ascii="宋体" w:hAnsi="宋体" w:cs="宋体"/>
                <w:szCs w:val="21"/>
              </w:rPr>
            </w:pPr>
            <w:r>
              <w:rPr>
                <w:rFonts w:hint="eastAsia" w:ascii="宋体" w:hAnsi="宋体" w:cs="宋体"/>
                <w:szCs w:val="21"/>
              </w:rPr>
              <w:t>c) 向总经理报告环境管理体系的绩效和任何改进的需求；</w:t>
            </w:r>
          </w:p>
          <w:p>
            <w:pPr>
              <w:adjustRightInd w:val="0"/>
              <w:snapToGrid w:val="0"/>
              <w:spacing w:line="360" w:lineRule="auto"/>
              <w:jc w:val="left"/>
              <w:rPr>
                <w:rFonts w:hint="eastAsia" w:ascii="宋体" w:hAnsi="宋体" w:cs="宋体"/>
                <w:szCs w:val="21"/>
              </w:rPr>
            </w:pPr>
            <w:r>
              <w:rPr>
                <w:rFonts w:hint="eastAsia" w:ascii="宋体" w:hAnsi="宋体" w:cs="宋体"/>
                <w:szCs w:val="21"/>
              </w:rPr>
              <w:t>d) 确保在整个公司内提高满足顾客要求的意识，确保所有承担管理职责的人员，都应该表明环境绩效持续改进的承诺；</w:t>
            </w:r>
          </w:p>
          <w:p>
            <w:pPr>
              <w:adjustRightInd w:val="0"/>
              <w:snapToGrid w:val="0"/>
              <w:spacing w:line="360" w:lineRule="auto"/>
              <w:jc w:val="left"/>
              <w:rPr>
                <w:rFonts w:hint="eastAsia" w:ascii="宋体" w:hAnsi="宋体" w:cs="宋体"/>
                <w:szCs w:val="21"/>
              </w:rPr>
            </w:pPr>
            <w:r>
              <w:rPr>
                <w:rFonts w:hint="eastAsia" w:ascii="宋体" w:hAnsi="宋体" w:cs="宋体"/>
                <w:szCs w:val="21"/>
              </w:rPr>
              <w:t>e )确保体系在任何情况下的完整性。</w:t>
            </w:r>
          </w:p>
          <w:p>
            <w:pPr>
              <w:adjustRightInd w:val="0"/>
              <w:snapToGrid w:val="0"/>
              <w:spacing w:line="360" w:lineRule="auto"/>
              <w:jc w:val="left"/>
              <w:rPr>
                <w:rFonts w:hint="default" w:ascii="宋体" w:hAnsi="宋体" w:cs="Arial"/>
                <w:szCs w:val="21"/>
                <w:lang w:val="en-US" w:eastAsia="zh-CN"/>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adjustRightInd w:val="0"/>
              <w:snapToGrid w:val="0"/>
              <w:jc w:val="center"/>
              <w:rPr>
                <w:rFonts w:hint="eastAsia" w:ascii="宋体" w:hAnsi="宋体" w:cs="宋体"/>
                <w:szCs w:val="21"/>
              </w:rPr>
            </w:pPr>
          </w:p>
          <w:p>
            <w:pPr>
              <w:adjustRightInd w:val="0"/>
              <w:snapToGrid w:val="0"/>
              <w:jc w:val="center"/>
              <w:rPr>
                <w:rFonts w:hint="eastAsia" w:ascii="宋体" w:hAnsi="宋体" w:cs="宋体"/>
                <w:szCs w:val="21"/>
              </w:rPr>
            </w:pPr>
          </w:p>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hint="eastAsia" w:ascii="宋体" w:hAnsi="宋体" w:cs="宋体"/>
                <w:szCs w:val="21"/>
              </w:rPr>
            </w:pPr>
          </w:p>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w:t>
            </w:r>
            <w:r>
              <w:rPr>
                <w:rFonts w:hint="eastAsia" w:ascii="宋体" w:hAnsi="宋体" w:cs="宋体"/>
                <w:szCs w:val="21"/>
              </w:rPr>
              <w:t xml:space="preserve">6.1 </w:t>
            </w:r>
          </w:p>
          <w:p>
            <w:pPr>
              <w:rPr>
                <w:bCs/>
                <w:szCs w:val="21"/>
              </w:rPr>
            </w:pPr>
          </w:p>
        </w:tc>
        <w:tc>
          <w:tcPr>
            <w:tcW w:w="10004" w:type="dxa"/>
          </w:tcPr>
          <w:p>
            <w:pPr>
              <w:tabs>
                <w:tab w:val="center" w:pos="3169"/>
              </w:tabs>
              <w:spacing w:line="360" w:lineRule="auto"/>
              <w:jc w:val="left"/>
              <w:rPr>
                <w:rFonts w:ascii="宋体" w:hAnsi="宋体" w:cs="宋体"/>
                <w:szCs w:val="21"/>
              </w:rPr>
            </w:pPr>
            <w:r>
              <w:rPr>
                <w:rFonts w:hint="eastAsia" w:ascii="宋体" w:hAnsi="宋体" w:cs="宋体"/>
                <w:szCs w:val="21"/>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w:t>
            </w:r>
            <w:r>
              <w:rPr>
                <w:rFonts w:hint="eastAsia" w:ascii="宋体" w:hAnsi="宋体" w:cs="宋体"/>
                <w:szCs w:val="21"/>
                <w:lang w:val="en-US" w:eastAsia="zh-CN"/>
              </w:rPr>
              <w:t>环境因素</w:t>
            </w:r>
            <w:r>
              <w:rPr>
                <w:rFonts w:hint="eastAsia" w:ascii="宋体" w:hAnsi="宋体" w:cs="宋体"/>
                <w:szCs w:val="21"/>
              </w:rPr>
              <w:t>有以下三项：</w:t>
            </w:r>
          </w:p>
          <w:p>
            <w:pPr>
              <w:tabs>
                <w:tab w:val="center" w:pos="3169"/>
              </w:tabs>
              <w:spacing w:line="400" w:lineRule="exact"/>
              <w:ind w:firstLine="210" w:firstLineChars="100"/>
              <w:jc w:val="left"/>
              <w:rPr>
                <w:rFonts w:ascii="宋体" w:hAnsi="宋体" w:cs="宋体"/>
                <w:szCs w:val="21"/>
              </w:rPr>
            </w:pPr>
            <w:r>
              <w:rPr>
                <w:rFonts w:hint="eastAsia"/>
                <w:szCs w:val="21"/>
              </w:rPr>
              <w:t>1）</w:t>
            </w:r>
            <w:r>
              <w:rPr>
                <w:rFonts w:hint="eastAsia" w:ascii="宋体" w:hAnsi="宋体"/>
                <w:color w:val="000000"/>
                <w:szCs w:val="21"/>
              </w:rPr>
              <w:t>固体废弃物的排放</w:t>
            </w:r>
            <w:r>
              <w:rPr>
                <w:rFonts w:hint="eastAsia" w:ascii="宋体" w:hAnsi="宋体" w:cs="宋体"/>
                <w:szCs w:val="21"/>
              </w:rPr>
              <w:t>；2）</w:t>
            </w:r>
            <w:r>
              <w:rPr>
                <w:rFonts w:hint="eastAsia" w:ascii="宋体" w:hAnsi="宋体"/>
                <w:color w:val="000000"/>
                <w:szCs w:val="21"/>
              </w:rPr>
              <w:t>能源消耗(水、电、办公耗材的使用)</w:t>
            </w:r>
            <w:r>
              <w:rPr>
                <w:rFonts w:hint="eastAsia" w:ascii="宋体" w:hAnsi="宋体" w:cs="宋体"/>
                <w:szCs w:val="21"/>
              </w:rPr>
              <w:t>；3）</w:t>
            </w:r>
            <w:r>
              <w:rPr>
                <w:rFonts w:hint="eastAsia"/>
                <w:bCs/>
              </w:rPr>
              <w:t>潜在火灾爆炸</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widowControl/>
              <w:jc w:val="left"/>
              <w:rPr>
                <w:rFonts w:hint="eastAsia" w:ascii="宋体" w:hAnsi="宋体" w:eastAsia="宋体"/>
                <w:szCs w:val="21"/>
                <w:lang w:val="en-US" w:eastAsia="zh-CN"/>
              </w:rPr>
            </w:pPr>
            <w:r>
              <w:rPr>
                <w:rFonts w:hint="eastAsia" w:ascii="宋体" w:hAnsi="宋体"/>
                <w:color w:val="000000"/>
                <w:szCs w:val="21"/>
              </w:rPr>
              <w:t>固体废弃物的排</w:t>
            </w:r>
            <w:r>
              <w:rPr>
                <w:rFonts w:hint="eastAsia" w:ascii="宋体" w:hAnsi="宋体"/>
                <w:color w:val="000000"/>
                <w:szCs w:val="21"/>
                <w:lang w:val="en-US" w:eastAsia="zh-CN"/>
              </w:rPr>
              <w:t>放：</w:t>
            </w:r>
          </w:p>
          <w:p>
            <w:pPr>
              <w:widowControl/>
              <w:jc w:val="left"/>
              <w:rPr>
                <w:rFonts w:hint="eastAsia" w:ascii="宋体" w:hAnsi="宋体"/>
                <w:szCs w:val="21"/>
              </w:rPr>
            </w:pPr>
            <w:r>
              <w:rPr>
                <w:rFonts w:hint="eastAsia" w:ascii="宋体" w:hAnsi="宋体"/>
                <w:szCs w:val="21"/>
              </w:rPr>
              <w:t>1）制定《废弃物分类管理办法》</w:t>
            </w:r>
          </w:p>
          <w:p>
            <w:pPr>
              <w:widowControl/>
              <w:jc w:val="left"/>
              <w:rPr>
                <w:rFonts w:hint="eastAsia" w:ascii="宋体" w:hAnsi="宋体"/>
                <w:szCs w:val="21"/>
              </w:rPr>
            </w:pPr>
            <w:r>
              <w:rPr>
                <w:rFonts w:hint="eastAsia" w:ascii="宋体" w:hAnsi="宋体"/>
                <w:szCs w:val="21"/>
              </w:rPr>
              <w:t>2）实现分类管理，并做出标识；不能形成二次污染。</w:t>
            </w:r>
          </w:p>
          <w:p>
            <w:pPr>
              <w:widowControl/>
              <w:jc w:val="left"/>
              <w:rPr>
                <w:rFonts w:hint="eastAsia" w:ascii="宋体" w:hAnsi="宋体"/>
                <w:szCs w:val="21"/>
              </w:rPr>
            </w:pPr>
            <w:r>
              <w:rPr>
                <w:rFonts w:hint="eastAsia" w:ascii="宋体" w:hAnsi="宋体"/>
                <w:szCs w:val="21"/>
              </w:rPr>
              <w:t>3）防止采购不合格的材料，应选择环保型，</w:t>
            </w:r>
          </w:p>
          <w:p>
            <w:pPr>
              <w:widowControl/>
              <w:jc w:val="left"/>
              <w:rPr>
                <w:rFonts w:hint="eastAsia" w:ascii="宋体" w:hAnsi="宋体"/>
                <w:szCs w:val="21"/>
              </w:rPr>
            </w:pPr>
            <w:r>
              <w:rPr>
                <w:rFonts w:hint="eastAsia" w:ascii="宋体" w:hAnsi="宋体"/>
                <w:szCs w:val="21"/>
              </w:rPr>
              <w:t>4）办公区废复写纸、废色带、废磁盘、废计算器、废日光灯等存放在各部门设置的有标识的盒子里，由行政部统一回收、处理。</w:t>
            </w:r>
          </w:p>
          <w:p>
            <w:pPr>
              <w:widowControl/>
              <w:jc w:val="left"/>
              <w:rPr>
                <w:rFonts w:hint="eastAsia" w:ascii="宋体" w:hAnsi="宋体"/>
                <w:szCs w:val="21"/>
              </w:rPr>
            </w:pPr>
            <w:r>
              <w:rPr>
                <w:rFonts w:hint="eastAsia" w:ascii="宋体" w:hAnsi="宋体"/>
                <w:szCs w:val="21"/>
              </w:rPr>
              <w:t>5）复印机废墨盒、废电池等由系供方进行回收。</w:t>
            </w:r>
          </w:p>
          <w:p>
            <w:pPr>
              <w:widowControl/>
              <w:jc w:val="left"/>
              <w:rPr>
                <w:rFonts w:hint="eastAsia" w:ascii="宋体" w:hAnsi="宋体"/>
                <w:szCs w:val="21"/>
              </w:rPr>
            </w:pPr>
            <w:r>
              <w:rPr>
                <w:rFonts w:hint="eastAsia" w:ascii="宋体" w:hAnsi="宋体"/>
                <w:szCs w:val="21"/>
              </w:rPr>
              <w:t>6）包装盒、包装箱由废品回收站回收。</w:t>
            </w:r>
          </w:p>
          <w:p>
            <w:pPr>
              <w:pStyle w:val="2"/>
              <w:rPr>
                <w:rFonts w:hint="eastAsia" w:eastAsia="宋体"/>
                <w:lang w:eastAsia="zh-CN"/>
              </w:rPr>
            </w:pPr>
            <w:r>
              <w:rPr>
                <w:rFonts w:hint="eastAsia"/>
                <w:bCs/>
              </w:rPr>
              <w:t>潜在火灾爆炸</w:t>
            </w:r>
            <w:r>
              <w:rPr>
                <w:rFonts w:hint="eastAsia"/>
                <w:bCs/>
                <w:lang w:eastAsia="zh-CN"/>
              </w:rPr>
              <w:t>：</w:t>
            </w:r>
          </w:p>
          <w:p>
            <w:pPr>
              <w:pStyle w:val="2"/>
              <w:rPr>
                <w:rFonts w:hint="eastAsia"/>
              </w:rPr>
            </w:pPr>
            <w:r>
              <w:rPr>
                <w:rFonts w:hint="eastAsia"/>
              </w:rPr>
              <w:t xml:space="preserve">1、对公司所有场所进行定期检查（办公用电，电线裸露、短路等），发现并排除火灾隐患； </w:t>
            </w:r>
          </w:p>
          <w:p>
            <w:pPr>
              <w:pStyle w:val="2"/>
              <w:rPr>
                <w:rFonts w:hint="eastAsia"/>
              </w:rPr>
            </w:pPr>
            <w:r>
              <w:rPr>
                <w:rFonts w:hint="eastAsia"/>
              </w:rPr>
              <w:t xml:space="preserve">2、配备足够数量的消防器材； </w:t>
            </w:r>
          </w:p>
          <w:p>
            <w:pPr>
              <w:pStyle w:val="2"/>
            </w:pPr>
            <w:r>
              <w:rPr>
                <w:rFonts w:hint="eastAsia"/>
              </w:rPr>
              <w:t>3、定期进行消防演习，提高员工的消防安全意识和应急能力；</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b/>
                <w:szCs w:val="21"/>
              </w:rPr>
            </w:pPr>
            <w:r>
              <w:rPr>
                <w:rFonts w:hint="eastAsia" w:ascii="宋体" w:hAnsi="宋体"/>
                <w:szCs w:val="21"/>
              </w:rPr>
              <w:t>目标及其实现的策划</w:t>
            </w:r>
          </w:p>
        </w:tc>
        <w:tc>
          <w:tcPr>
            <w:tcW w:w="960" w:type="dxa"/>
          </w:tcPr>
          <w:p>
            <w:pPr>
              <w:spacing w:line="360" w:lineRule="auto"/>
              <w:rPr>
                <w:rFonts w:hint="eastAsia" w:ascii="宋体" w:hAnsi="宋体" w:cs="宋体"/>
                <w:szCs w:val="21"/>
                <w:lang w:val="en-US" w:eastAsia="zh-CN"/>
              </w:rPr>
            </w:pPr>
            <w:r>
              <w:rPr>
                <w:rFonts w:hint="eastAsia" w:ascii="宋体" w:hAnsi="宋体" w:cs="宋体"/>
                <w:szCs w:val="21"/>
              </w:rPr>
              <w:t>E</w:t>
            </w:r>
            <w:r>
              <w:rPr>
                <w:rFonts w:hint="eastAsia" w:ascii="宋体" w:hAnsi="宋体" w:cs="宋体"/>
                <w:szCs w:val="21"/>
                <w:lang w:val="en-US" w:eastAsia="zh-CN"/>
              </w:rPr>
              <w:t>：</w:t>
            </w:r>
          </w:p>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6.2</w:t>
            </w:r>
          </w:p>
          <w:p>
            <w:pPr>
              <w:pStyle w:val="3"/>
              <w:rPr>
                <w:rFonts w:hint="eastAsia"/>
                <w:lang w:val="en-US" w:eastAsia="zh-CN"/>
              </w:rPr>
            </w:pPr>
          </w:p>
          <w:p>
            <w:pPr>
              <w:spacing w:line="360" w:lineRule="auto"/>
              <w:rPr>
                <w:b/>
                <w:szCs w:val="21"/>
              </w:rPr>
            </w:pPr>
          </w:p>
        </w:tc>
        <w:tc>
          <w:tcPr>
            <w:tcW w:w="10004" w:type="dxa"/>
          </w:tcPr>
          <w:p>
            <w:pPr>
              <w:spacing w:line="360" w:lineRule="auto"/>
              <w:jc w:val="left"/>
              <w:rPr>
                <w:rFonts w:ascii="宋体" w:hAnsi="宋体" w:cs="宋体"/>
                <w:color w:val="000000"/>
                <w:szCs w:val="21"/>
              </w:rPr>
            </w:pPr>
            <w:r>
              <w:rPr>
                <w:rFonts w:hint="eastAsia" w:ascii="宋体" w:hAnsi="宋体" w:cs="宋体"/>
                <w:color w:val="000000"/>
                <w:szCs w:val="21"/>
              </w:rPr>
              <w:t>环境目标</w:t>
            </w:r>
          </w:p>
          <w:p>
            <w:pPr>
              <w:spacing w:line="360" w:lineRule="auto"/>
              <w:jc w:val="left"/>
              <w:rPr>
                <w:rFonts w:hint="eastAsia" w:ascii="宋体" w:hAnsi="宋体" w:cs="宋体"/>
                <w:color w:val="000000"/>
                <w:szCs w:val="21"/>
              </w:rPr>
            </w:pPr>
            <w:r>
              <w:rPr>
                <w:rFonts w:hint="eastAsia" w:ascii="宋体" w:hAnsi="宋体" w:cs="宋体"/>
                <w:color w:val="000000"/>
                <w:szCs w:val="21"/>
              </w:rPr>
              <w:t>环境管理目标：a)固体弃物有效处置率100％、c)杜绝火灾事故</w:t>
            </w:r>
          </w:p>
          <w:p>
            <w:pPr>
              <w:spacing w:line="360" w:lineRule="auto"/>
              <w:jc w:val="left"/>
              <w:rPr>
                <w:rFonts w:hint="eastAsia" w:ascii="宋体" w:hAnsi="宋体" w:cs="宋体"/>
                <w:color w:val="000000"/>
                <w:szCs w:val="21"/>
              </w:rPr>
            </w:pPr>
            <w:r>
              <w:rPr>
                <w:rFonts w:hint="eastAsia" w:ascii="宋体" w:hAnsi="宋体" w:cs="宋体"/>
                <w:color w:val="000000"/>
                <w:szCs w:val="21"/>
              </w:rPr>
              <w:t>查</w:t>
            </w:r>
            <w:r>
              <w:rPr>
                <w:rFonts w:hint="eastAsia" w:ascii="宋体" w:hAnsi="宋体" w:cs="宋体"/>
                <w:color w:val="000000"/>
                <w:szCs w:val="21"/>
                <w:lang w:val="en-US" w:eastAsia="zh-CN"/>
              </w:rPr>
              <w:t>2021.10.31</w:t>
            </w:r>
            <w:r>
              <w:rPr>
                <w:rFonts w:hint="eastAsia" w:ascii="宋体" w:hAnsi="宋体" w:cs="宋体"/>
                <w:color w:val="000000"/>
                <w:szCs w:val="21"/>
              </w:rPr>
              <w:t>《目标考核表》20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10</w:t>
            </w:r>
            <w:r>
              <w:rPr>
                <w:rFonts w:hint="eastAsia" w:ascii="宋体" w:hAnsi="宋体" w:cs="宋体"/>
                <w:color w:val="000000"/>
                <w:szCs w:val="21"/>
              </w:rPr>
              <w:t>对目标进行考核，考核情况为：</w:t>
            </w:r>
          </w:p>
          <w:p>
            <w:pPr>
              <w:spacing w:line="360" w:lineRule="auto"/>
              <w:jc w:val="left"/>
              <w:rPr>
                <w:rFonts w:hint="eastAsia" w:ascii="宋体" w:hAnsi="宋体" w:eastAsia="宋体" w:cs="宋体"/>
                <w:szCs w:val="21"/>
                <w:lang w:eastAsia="zh-CN"/>
              </w:rPr>
            </w:pPr>
            <w:r>
              <w:rPr>
                <w:rFonts w:hint="eastAsia" w:ascii="宋体" w:hAnsi="宋体"/>
                <w:szCs w:val="21"/>
              </w:rPr>
              <w:t xml:space="preserve">环境目标、指标： </w:t>
            </w:r>
            <w:r>
              <w:rPr>
                <w:rFonts w:hint="eastAsia" w:ascii="宋体" w:hAnsi="宋体" w:eastAsia="宋体"/>
                <w:szCs w:val="21"/>
                <w:lang w:eastAsia="zh-CN"/>
              </w:rPr>
              <w:drawing>
                <wp:inline distT="0" distB="0" distL="114300" distR="114300">
                  <wp:extent cx="5909310" cy="2490470"/>
                  <wp:effectExtent l="0" t="0" r="8890" b="11430"/>
                  <wp:docPr id="2" name="图片 2" descr="微信图片_2021113009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130091617"/>
                          <pic:cNvPicPr>
                            <a:picLocks noChangeAspect="1"/>
                          </pic:cNvPicPr>
                        </pic:nvPicPr>
                        <pic:blipFill>
                          <a:blip r:embed="rId6"/>
                          <a:stretch>
                            <a:fillRect/>
                          </a:stretch>
                        </pic:blipFill>
                        <pic:spPr>
                          <a:xfrm>
                            <a:off x="0" y="0"/>
                            <a:ext cx="5909310" cy="2490470"/>
                          </a:xfrm>
                          <a:prstGeom prst="rect">
                            <a:avLst/>
                          </a:prstGeom>
                        </pic:spPr>
                      </pic:pic>
                    </a:graphicData>
                  </a:graphic>
                </wp:inline>
              </w:drawing>
            </w:r>
          </w:p>
          <w:p>
            <w:pPr>
              <w:spacing w:line="360" w:lineRule="auto"/>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hint="eastAsia" w:ascii="宋体" w:hAnsi="宋体"/>
                <w:szCs w:val="21"/>
              </w:rPr>
            </w:pPr>
          </w:p>
          <w:p>
            <w:pPr>
              <w:adjustRightInd w:val="0"/>
              <w:snapToGrid w:val="0"/>
              <w:jc w:val="left"/>
              <w:rPr>
                <w:rFonts w:ascii="宋体" w:hAnsi="宋体"/>
                <w:szCs w:val="21"/>
              </w:rPr>
            </w:pPr>
            <w:r>
              <w:rPr>
                <w:rFonts w:hint="eastAsia" w:ascii="宋体" w:hAnsi="宋体"/>
                <w:szCs w:val="21"/>
              </w:rPr>
              <w:t>资源</w:t>
            </w:r>
          </w:p>
        </w:tc>
        <w:tc>
          <w:tcPr>
            <w:tcW w:w="960" w:type="dxa"/>
          </w:tcPr>
          <w:p>
            <w:pPr>
              <w:rPr>
                <w:rFonts w:hint="eastAsia" w:ascii="宋体" w:hAnsi="宋体" w:cs="宋体"/>
                <w:szCs w:val="21"/>
              </w:rPr>
            </w:pPr>
          </w:p>
          <w:p>
            <w:pPr>
              <w:rPr>
                <w:rFonts w:hint="eastAsia" w:ascii="宋体" w:hAnsi="宋体" w:cs="宋体"/>
                <w:szCs w:val="21"/>
                <w:lang w:val="en-US" w:eastAsia="zh-CN"/>
              </w:rPr>
            </w:pPr>
            <w:r>
              <w:rPr>
                <w:rFonts w:hint="eastAsia" w:ascii="宋体" w:hAnsi="宋体" w:cs="宋体"/>
                <w:szCs w:val="21"/>
              </w:rPr>
              <w:t>E</w:t>
            </w:r>
            <w:r>
              <w:rPr>
                <w:rFonts w:hint="eastAsia" w:ascii="宋体" w:hAnsi="宋体" w:cs="宋体"/>
                <w:szCs w:val="21"/>
                <w:lang w:val="en-US" w:eastAsia="zh-CN"/>
              </w:rPr>
              <w:t>：</w:t>
            </w:r>
          </w:p>
          <w:p>
            <w:pPr>
              <w:rPr>
                <w:rFonts w:ascii="宋体" w:hAnsi="宋体" w:cs="宋体"/>
                <w:szCs w:val="21"/>
              </w:rPr>
            </w:pPr>
            <w:r>
              <w:rPr>
                <w:rFonts w:hint="eastAsia" w:ascii="宋体" w:hAnsi="宋体" w:cs="宋体"/>
                <w:szCs w:val="21"/>
              </w:rPr>
              <w:t>7.1</w:t>
            </w:r>
          </w:p>
          <w:p>
            <w:pPr>
              <w:rPr>
                <w:rFonts w:ascii="宋体" w:hAnsi="宋体"/>
                <w:szCs w:val="21"/>
              </w:rPr>
            </w:pPr>
          </w:p>
        </w:tc>
        <w:tc>
          <w:tcPr>
            <w:tcW w:w="10004" w:type="dxa"/>
          </w:tcPr>
          <w:p>
            <w:pPr>
              <w:tabs>
                <w:tab w:val="center" w:pos="3169"/>
              </w:tabs>
              <w:spacing w:line="360" w:lineRule="auto"/>
              <w:jc w:val="left"/>
              <w:rPr>
                <w:rFonts w:ascii="宋体" w:hAnsi="宋体" w:cs="宋体"/>
                <w:szCs w:val="21"/>
              </w:rPr>
            </w:pPr>
            <w:r>
              <w:rPr>
                <w:rFonts w:hint="eastAsia" w:ascii="宋体" w:hAnsi="宋体" w:cs="宋体"/>
                <w:szCs w:val="21"/>
              </w:rPr>
              <w:t>询问总经理，企业为了实施环境管理体系，并持续改进其有效性、增强顾客满意度和体系正常运行提供了充足的资金及必要的资源，为提高员工</w:t>
            </w:r>
            <w:r>
              <w:rPr>
                <w:rFonts w:hint="eastAsia" w:ascii="宋体" w:hAnsi="宋体" w:cs="宋体"/>
                <w:szCs w:val="21"/>
                <w:lang w:val="en-US" w:eastAsia="zh-CN"/>
              </w:rPr>
              <w:t>环境职业健康安全</w:t>
            </w:r>
            <w:r>
              <w:rPr>
                <w:rFonts w:hint="eastAsia" w:ascii="宋体" w:hAnsi="宋体" w:cs="宋体"/>
                <w:szCs w:val="21"/>
              </w:rPr>
              <w:t>意识组织了的培训，目前的资源基本满足策划需要。</w:t>
            </w:r>
          </w:p>
          <w:p>
            <w:pPr>
              <w:spacing w:line="360" w:lineRule="auto"/>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lang w:eastAsia="zh-CN"/>
              </w:rPr>
              <w:t>一般</w:t>
            </w:r>
            <w:r>
              <w:rPr>
                <w:rFonts w:hint="eastAsia" w:ascii="宋体" w:hAnsi="宋体"/>
                <w:szCs w:val="21"/>
                <w:lang w:val="en-US" w:eastAsia="zh-CN"/>
              </w:rPr>
              <w:t>产品销售</w:t>
            </w:r>
            <w:r>
              <w:rPr>
                <w:rFonts w:hint="eastAsia" w:ascii="宋体" w:hAnsi="宋体" w:cs="宋体"/>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hint="eastAsia" w:ascii="宋体" w:hAnsi="宋体" w:cs="宋体"/>
                <w:szCs w:val="21"/>
              </w:rPr>
            </w:pPr>
          </w:p>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hint="eastAsia" w:ascii="宋体" w:hAnsi="宋体" w:cs="宋体"/>
                <w:szCs w:val="21"/>
              </w:rPr>
            </w:pPr>
          </w:p>
          <w:p>
            <w:pPr>
              <w:rPr>
                <w:rFonts w:hint="eastAsia" w:ascii="宋体" w:hAnsi="宋体" w:cs="宋体"/>
                <w:szCs w:val="21"/>
                <w:lang w:val="en-US" w:eastAsia="zh-CN"/>
              </w:rPr>
            </w:pPr>
            <w:r>
              <w:rPr>
                <w:rFonts w:hint="eastAsia" w:ascii="宋体" w:hAnsi="宋体" w:cs="宋体"/>
                <w:szCs w:val="21"/>
              </w:rPr>
              <w:t>E</w:t>
            </w:r>
            <w:r>
              <w:rPr>
                <w:rFonts w:hint="eastAsia" w:ascii="宋体" w:hAnsi="宋体" w:cs="宋体"/>
                <w:szCs w:val="21"/>
                <w:lang w:val="en-US" w:eastAsia="zh-CN"/>
              </w:rPr>
              <w:t>：</w:t>
            </w:r>
          </w:p>
          <w:p>
            <w:pPr>
              <w:rPr>
                <w:rFonts w:ascii="宋体" w:hAnsi="宋体" w:cs="宋体"/>
                <w:szCs w:val="21"/>
              </w:rPr>
            </w:pP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360" w:lineRule="auto"/>
              <w:jc w:val="left"/>
              <w:rPr>
                <w:rFonts w:ascii="宋体" w:hAnsi="宋体" w:cs="宋体"/>
                <w:szCs w:val="21"/>
              </w:rPr>
            </w:pPr>
            <w:r>
              <w:rPr>
                <w:rFonts w:hint="eastAsia" w:ascii="宋体" w:hAnsi="宋体" w:cs="宋体"/>
                <w:szCs w:val="21"/>
              </w:rPr>
              <w:t>公司和部门负责人清楚公司及各部门与E相关的内部沟通和外部信息交流的项目、内容等。如：公布、公开</w:t>
            </w:r>
            <w:r>
              <w:rPr>
                <w:rFonts w:hint="eastAsia" w:ascii="宋体" w:hAnsi="宋体" w:cs="宋体"/>
                <w:szCs w:val="21"/>
                <w:lang w:val="en-US" w:eastAsia="zh-CN"/>
              </w:rPr>
              <w:t>环境职业健康安全</w:t>
            </w:r>
            <w:r>
              <w:rPr>
                <w:rFonts w:hint="eastAsia" w:ascii="宋体" w:hAnsi="宋体" w:cs="宋体"/>
                <w:szCs w:val="21"/>
              </w:rPr>
              <w:t>方针和</w:t>
            </w:r>
            <w:r>
              <w:rPr>
                <w:rFonts w:hint="eastAsia" w:ascii="宋体" w:hAnsi="宋体" w:cs="宋体"/>
                <w:szCs w:val="21"/>
                <w:lang w:val="en-US" w:eastAsia="zh-CN"/>
              </w:rPr>
              <w:t>环境职业健康安全</w:t>
            </w:r>
            <w:r>
              <w:rPr>
                <w:rFonts w:hint="eastAsia" w:ascii="宋体" w:hAnsi="宋体" w:cs="宋体"/>
                <w:szCs w:val="21"/>
              </w:rPr>
              <w:t>目标、与客户、外部供方等相关产品和服务的沟通等。</w:t>
            </w:r>
          </w:p>
          <w:p>
            <w:pPr>
              <w:tabs>
                <w:tab w:val="center" w:pos="3169"/>
              </w:tabs>
              <w:spacing w:line="360" w:lineRule="auto"/>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360" w:lineRule="auto"/>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uto"/>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hint="eastAsia" w:ascii="宋体" w:hAnsi="宋体"/>
                <w:szCs w:val="21"/>
              </w:rPr>
            </w:pPr>
          </w:p>
          <w:p>
            <w:pPr>
              <w:rPr>
                <w:rFonts w:hint="eastAsia" w:ascii="宋体" w:hAnsi="宋体"/>
                <w:szCs w:val="21"/>
              </w:rPr>
            </w:pPr>
          </w:p>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hint="eastAsia" w:ascii="宋体" w:hAnsi="宋体" w:cs="宋体"/>
                <w:szCs w:val="21"/>
              </w:rPr>
            </w:pPr>
          </w:p>
          <w:p>
            <w:pPr>
              <w:rPr>
                <w:rFonts w:hint="eastAsia" w:ascii="宋体" w:hAnsi="宋体" w:cs="宋体"/>
                <w:szCs w:val="21"/>
                <w:lang w:val="en-US" w:eastAsia="zh-CN"/>
              </w:rPr>
            </w:pPr>
            <w:r>
              <w:rPr>
                <w:rFonts w:hint="eastAsia" w:ascii="宋体" w:hAnsi="宋体" w:cs="宋体"/>
                <w:szCs w:val="21"/>
              </w:rPr>
              <w:t>E</w:t>
            </w:r>
            <w:r>
              <w:rPr>
                <w:rFonts w:hint="eastAsia" w:ascii="宋体" w:hAnsi="宋体" w:cs="宋体"/>
                <w:szCs w:val="21"/>
                <w:lang w:val="en-US" w:eastAsia="zh-CN"/>
              </w:rPr>
              <w:t>:</w:t>
            </w:r>
          </w:p>
          <w:p>
            <w:pPr>
              <w:rPr>
                <w:rFonts w:ascii="宋体" w:hAnsi="宋体" w:cs="宋体"/>
                <w:szCs w:val="21"/>
              </w:rPr>
            </w:pPr>
            <w:r>
              <w:rPr>
                <w:rFonts w:hint="eastAsia" w:ascii="宋体" w:hAnsi="宋体" w:cs="宋体"/>
                <w:szCs w:val="21"/>
              </w:rPr>
              <w:t xml:space="preserve">9.1.1 </w:t>
            </w:r>
          </w:p>
          <w:p>
            <w:pPr>
              <w:rPr>
                <w:rFonts w:ascii="宋体" w:hAnsi="宋体" w:cs="宋体"/>
                <w:szCs w:val="21"/>
              </w:rPr>
            </w:pPr>
          </w:p>
        </w:tc>
        <w:tc>
          <w:tcPr>
            <w:tcW w:w="10004" w:type="dxa"/>
          </w:tcPr>
          <w:p>
            <w:pPr>
              <w:tabs>
                <w:tab w:val="center" w:pos="3169"/>
              </w:tabs>
              <w:spacing w:line="360" w:lineRule="auto"/>
              <w:jc w:val="left"/>
              <w:rPr>
                <w:rFonts w:hint="default" w:ascii="宋体" w:hAnsi="宋体" w:cs="宋体"/>
                <w:szCs w:val="21"/>
                <w:lang w:val="en-US" w:eastAsia="zh-CN"/>
              </w:rPr>
            </w:pPr>
            <w:r>
              <w:rPr>
                <w:rFonts w:hint="eastAsia"/>
              </w:rPr>
              <w:t>公司对需要监视和测量的对象的确定，监视、测量、分析和评价方法的选择，实施监视和测量的时机、实施分析和评价的时机界定，EMS的绩效和有效性的评价方法的采用及有关监视和测量记录的保留等要求予以较清楚的策划和确定，详见相关程序文件及监视、测量、分析和评价的实施计划。如：（1）《绩效测量和监视程序》（2）《内部审核控制程序》（3）《管理评审控制程序》（4）《应急准备和响应控制程序》（5）《合规性评价程序》</w:t>
            </w:r>
            <w:r>
              <w:rPr>
                <w:rFonts w:hint="eastAsia"/>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spacing w:line="360" w:lineRule="auto"/>
              <w:jc w:val="left"/>
              <w:rPr>
                <w:rFonts w:hint="eastAsia" w:ascii="宋体" w:hAnsi="宋体" w:cs="宋体"/>
                <w:szCs w:val="21"/>
              </w:rPr>
            </w:pPr>
          </w:p>
          <w:p>
            <w:pPr>
              <w:adjustRightInd w:val="0"/>
              <w:snapToGrid w:val="0"/>
              <w:spacing w:line="360" w:lineRule="auto"/>
              <w:jc w:val="left"/>
              <w:rPr>
                <w:rFonts w:ascii="宋体" w:hAnsi="宋体"/>
                <w:szCs w:val="21"/>
              </w:rPr>
            </w:pPr>
            <w:r>
              <w:rPr>
                <w:rFonts w:hint="eastAsia" w:ascii="宋体" w:hAnsi="宋体" w:cs="宋体"/>
                <w:szCs w:val="21"/>
              </w:rPr>
              <w:t>管理评审</w:t>
            </w:r>
          </w:p>
        </w:tc>
        <w:tc>
          <w:tcPr>
            <w:tcW w:w="960" w:type="dxa"/>
          </w:tcPr>
          <w:p>
            <w:pPr>
              <w:spacing w:line="360" w:lineRule="auto"/>
              <w:rPr>
                <w:rFonts w:hint="eastAsia" w:ascii="宋体" w:hAnsi="宋体" w:cs="宋体"/>
                <w:szCs w:val="21"/>
              </w:rPr>
            </w:pPr>
          </w:p>
          <w:p>
            <w:pPr>
              <w:spacing w:line="360" w:lineRule="auto"/>
              <w:rPr>
                <w:rFonts w:hint="eastAsia" w:ascii="宋体" w:hAnsi="宋体" w:cs="宋体"/>
                <w:szCs w:val="21"/>
                <w:lang w:val="en-US" w:eastAsia="zh-CN"/>
              </w:rPr>
            </w:pPr>
            <w:r>
              <w:rPr>
                <w:rFonts w:hint="eastAsia" w:ascii="宋体" w:hAnsi="宋体" w:cs="宋体"/>
                <w:szCs w:val="21"/>
              </w:rPr>
              <w:t>E</w:t>
            </w:r>
            <w:r>
              <w:rPr>
                <w:rFonts w:hint="eastAsia" w:ascii="宋体" w:hAnsi="宋体" w:cs="宋体"/>
                <w:szCs w:val="21"/>
                <w:lang w:val="en-US" w:eastAsia="zh-CN"/>
              </w:rPr>
              <w:t>:</w:t>
            </w:r>
          </w:p>
          <w:p>
            <w:pPr>
              <w:spacing w:line="360" w:lineRule="auto"/>
              <w:rPr>
                <w:rFonts w:ascii="宋体" w:hAnsi="宋体" w:cs="宋体"/>
                <w:szCs w:val="21"/>
              </w:rPr>
            </w:pPr>
            <w:r>
              <w:rPr>
                <w:rFonts w:hint="eastAsia" w:ascii="宋体" w:hAnsi="宋体" w:cs="宋体"/>
                <w:szCs w:val="21"/>
              </w:rPr>
              <w:t xml:space="preserve">9.3 </w:t>
            </w:r>
          </w:p>
          <w:p>
            <w:pPr>
              <w:spacing w:line="360" w:lineRule="auto"/>
              <w:rPr>
                <w:rFonts w:ascii="宋体" w:hAnsi="宋体"/>
                <w:szCs w:val="21"/>
              </w:rPr>
            </w:pPr>
          </w:p>
        </w:tc>
        <w:tc>
          <w:tcPr>
            <w:tcW w:w="10004" w:type="dxa"/>
          </w:tcPr>
          <w:p>
            <w:pPr>
              <w:spacing w:line="360" w:lineRule="auto"/>
            </w:pPr>
            <w:r>
              <w:rPr>
                <w:rFonts w:hint="eastAsia"/>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uto"/>
            </w:pPr>
            <w:r>
              <w:rPr>
                <w:rFonts w:hint="eastAsia"/>
              </w:rPr>
              <w:t>时间：20</w:t>
            </w:r>
            <w:r>
              <w:rPr>
                <w:rFonts w:hint="eastAsia"/>
                <w:lang w:val="en-US" w:eastAsia="zh-CN"/>
              </w:rPr>
              <w:t>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p>
          <w:p>
            <w:pPr>
              <w:spacing w:line="360" w:lineRule="auto"/>
            </w:pPr>
            <w:r>
              <w:rPr>
                <w:rFonts w:hint="eastAsia"/>
              </w:rPr>
              <w:t>主持人：</w:t>
            </w:r>
            <w:r>
              <w:rPr>
                <w:rFonts w:hint="eastAsia"/>
                <w:lang w:val="en-US" w:eastAsia="zh-CN"/>
              </w:rPr>
              <w:t>钟圣裕</w:t>
            </w:r>
            <w:r>
              <w:rPr>
                <w:rFonts w:hint="eastAsia"/>
              </w:rPr>
              <w:t>总经理</w:t>
            </w:r>
          </w:p>
          <w:p>
            <w:pPr>
              <w:spacing w:line="360" w:lineRule="auto"/>
            </w:pPr>
            <w:r>
              <w:rPr>
                <w:rFonts w:hint="eastAsia"/>
              </w:rPr>
              <w:t>参加人员：体系涉及到的各部门所有有人员</w:t>
            </w:r>
          </w:p>
          <w:p>
            <w:pPr>
              <w:spacing w:line="360" w:lineRule="auto"/>
            </w:pPr>
            <w:r>
              <w:rPr>
                <w:rFonts w:hint="eastAsia"/>
              </w:rPr>
              <w:t>评审内容：</w:t>
            </w:r>
          </w:p>
          <w:p>
            <w:pPr>
              <w:spacing w:line="360" w:lineRule="auto"/>
              <w:rPr>
                <w:rFonts w:hint="eastAsia"/>
              </w:rPr>
            </w:pPr>
            <w:r>
              <w:rPr>
                <w:rFonts w:hint="eastAsia"/>
              </w:rPr>
              <w:t>1、环境方针是否适宜；</w:t>
            </w:r>
          </w:p>
          <w:p>
            <w:pPr>
              <w:spacing w:line="360" w:lineRule="auto"/>
              <w:rPr>
                <w:rFonts w:hint="eastAsia"/>
              </w:rPr>
            </w:pPr>
            <w:r>
              <w:rPr>
                <w:rFonts w:hint="eastAsia"/>
              </w:rPr>
              <w:t>2、公司各部门环境目标是否完成；</w:t>
            </w:r>
          </w:p>
          <w:p>
            <w:pPr>
              <w:spacing w:line="360" w:lineRule="auto"/>
              <w:rPr>
                <w:rFonts w:hint="eastAsia"/>
              </w:rPr>
            </w:pPr>
            <w:r>
              <w:rPr>
                <w:rFonts w:hint="eastAsia"/>
              </w:rPr>
              <w:t>3、环境目标和管理方案是否完成；</w:t>
            </w:r>
          </w:p>
          <w:p>
            <w:pPr>
              <w:spacing w:line="360" w:lineRule="auto"/>
              <w:rPr>
                <w:rFonts w:hint="eastAsia"/>
              </w:rPr>
            </w:pPr>
            <w:r>
              <w:rPr>
                <w:rFonts w:hint="eastAsia"/>
              </w:rPr>
              <w:t>4、EMS的适宜性、充分性和有效性；</w:t>
            </w:r>
          </w:p>
          <w:p>
            <w:pPr>
              <w:spacing w:line="360" w:lineRule="auto"/>
              <w:rPr>
                <w:rFonts w:hint="eastAsia"/>
              </w:rPr>
            </w:pPr>
            <w:r>
              <w:rPr>
                <w:rFonts w:hint="eastAsia"/>
              </w:rPr>
              <w:t>5、各部门工作的成绩和存在的问题；</w:t>
            </w:r>
          </w:p>
          <w:p>
            <w:pPr>
              <w:spacing w:line="360" w:lineRule="auto"/>
              <w:rPr>
                <w:rFonts w:hint="eastAsia"/>
              </w:rPr>
            </w:pPr>
            <w:r>
              <w:rPr>
                <w:rFonts w:hint="eastAsia"/>
              </w:rPr>
              <w:t>6、有关服务要求是否需要改进；</w:t>
            </w:r>
          </w:p>
          <w:p>
            <w:pPr>
              <w:spacing w:line="360" w:lineRule="auto"/>
              <w:rPr>
                <w:rFonts w:hint="eastAsia"/>
              </w:rPr>
            </w:pPr>
            <w:r>
              <w:rPr>
                <w:rFonts w:hint="eastAsia"/>
              </w:rPr>
              <w:t>7、资源是否有新需求。</w:t>
            </w:r>
          </w:p>
          <w:p>
            <w:pPr>
              <w:tabs>
                <w:tab w:val="right" w:pos="9332"/>
              </w:tabs>
              <w:spacing w:line="360" w:lineRule="auto"/>
              <w:rPr>
                <w:rFonts w:hint="eastAsia"/>
              </w:rPr>
            </w:pPr>
            <w:r>
              <w:rPr>
                <w:rFonts w:hint="eastAsia"/>
                <w:lang w:val="en-US" w:eastAsia="zh-CN"/>
              </w:rPr>
              <w:t>改进意见：</w:t>
            </w:r>
            <w:r>
              <w:rPr>
                <w:rFonts w:hint="eastAsia"/>
              </w:rPr>
              <w:t>1．加大环境管理人员培训力度。</w:t>
            </w:r>
          </w:p>
          <w:p>
            <w:pPr>
              <w:pStyle w:val="2"/>
              <w:rPr>
                <w:rFonts w:hint="default" w:eastAsia="宋体"/>
                <w:lang w:val="en-US" w:eastAsia="zh-CN"/>
              </w:rPr>
            </w:pPr>
            <w:r>
              <w:rPr>
                <w:rFonts w:hint="eastAsia" w:ascii="宋体" w:hAnsi="宋体"/>
                <w:lang w:val="en-US" w:eastAsia="zh-CN"/>
              </w:rPr>
              <w:t>查看有相应的管理评审计划及签到表。</w:t>
            </w:r>
            <w:r>
              <w:rPr>
                <w:rFonts w:hint="default" w:eastAsia="宋体"/>
                <w:lang w:val="en-US" w:eastAsia="zh-CN"/>
              </w:rPr>
              <w:drawing>
                <wp:inline distT="0" distB="0" distL="114300" distR="114300">
                  <wp:extent cx="2413000" cy="2590800"/>
                  <wp:effectExtent l="0" t="0" r="0" b="0"/>
                  <wp:docPr id="3" name="图片 3" descr="管理评审签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管理评审签到"/>
                          <pic:cNvPicPr>
                            <a:picLocks noChangeAspect="1"/>
                          </pic:cNvPicPr>
                        </pic:nvPicPr>
                        <pic:blipFill>
                          <a:blip r:embed="rId7"/>
                          <a:stretch>
                            <a:fillRect/>
                          </a:stretch>
                        </pic:blipFill>
                        <pic:spPr>
                          <a:xfrm>
                            <a:off x="0" y="0"/>
                            <a:ext cx="2413000" cy="2590800"/>
                          </a:xfrm>
                          <a:prstGeom prst="rect">
                            <a:avLst/>
                          </a:prstGeom>
                        </pic:spPr>
                      </pic:pic>
                    </a:graphicData>
                  </a:graphic>
                </wp:inline>
              </w:drawing>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spacing w:line="360" w:lineRule="auto"/>
              <w:rPr>
                <w:rFonts w:hint="eastAsia" w:ascii="宋体" w:hAnsi="宋体"/>
                <w:szCs w:val="21"/>
              </w:rPr>
            </w:pPr>
          </w:p>
          <w:p>
            <w:pPr>
              <w:adjustRightInd w:val="0"/>
              <w:snapToGrid w:val="0"/>
              <w:spacing w:line="360" w:lineRule="auto"/>
              <w:rPr>
                <w:rFonts w:ascii="宋体" w:hAnsi="宋体"/>
                <w:szCs w:val="21"/>
              </w:rPr>
            </w:pPr>
            <w:r>
              <w:rPr>
                <w:rFonts w:hint="eastAsia" w:ascii="宋体" w:hAnsi="宋体"/>
                <w:szCs w:val="21"/>
              </w:rPr>
              <w:t>措施改进总则、</w:t>
            </w:r>
          </w:p>
          <w:p>
            <w:pPr>
              <w:adjustRightInd w:val="0"/>
              <w:snapToGrid w:val="0"/>
              <w:spacing w:line="360" w:lineRule="auto"/>
              <w:rPr>
                <w:rFonts w:ascii="宋体" w:hAnsi="宋体" w:cs="宋体"/>
                <w:szCs w:val="21"/>
              </w:rPr>
            </w:pPr>
            <w:r>
              <w:rPr>
                <w:rFonts w:hint="eastAsia" w:ascii="宋体" w:hAnsi="宋体"/>
                <w:szCs w:val="21"/>
              </w:rPr>
              <w:t>持续改进/事件、不符合和纠正</w:t>
            </w:r>
          </w:p>
        </w:tc>
        <w:tc>
          <w:tcPr>
            <w:tcW w:w="960" w:type="dxa"/>
          </w:tcPr>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E10.1;</w:t>
            </w:r>
          </w:p>
          <w:p>
            <w:pPr>
              <w:spacing w:line="360" w:lineRule="auto"/>
              <w:rPr>
                <w:rFonts w:ascii="宋体" w:hAnsi="宋体"/>
                <w:szCs w:val="21"/>
              </w:rPr>
            </w:pPr>
            <w:r>
              <w:rPr>
                <w:rFonts w:hint="eastAsia" w:ascii="宋体" w:hAnsi="宋体"/>
                <w:szCs w:val="21"/>
              </w:rPr>
              <w:t>10.3；</w:t>
            </w:r>
          </w:p>
          <w:p>
            <w:pPr>
              <w:spacing w:line="360" w:lineRule="auto"/>
              <w:rPr>
                <w:rFonts w:ascii="宋体" w:hAnsi="宋体"/>
                <w:szCs w:val="21"/>
              </w:rPr>
            </w:pPr>
          </w:p>
        </w:tc>
        <w:tc>
          <w:tcPr>
            <w:tcW w:w="10004" w:type="dxa"/>
          </w:tcPr>
          <w:p>
            <w:pPr>
              <w:spacing w:line="360" w:lineRule="auto"/>
              <w:rPr>
                <w:rFonts w:ascii="宋体" w:hAnsi="宋体"/>
                <w:szCs w:val="21"/>
              </w:rPr>
            </w:pPr>
            <w:r>
              <w:rPr>
                <w:rFonts w:hint="eastAsia" w:ascii="宋体" w:hAnsi="宋体"/>
                <w:szCs w:val="21"/>
              </w:rPr>
              <w:t>公司制定系列程序文件</w:t>
            </w:r>
            <w:r>
              <w:rPr>
                <w:rFonts w:hint="eastAsia"/>
              </w:rPr>
              <w:t>《内部审核控制程序》《管理评审控制程序》</w:t>
            </w:r>
            <w:r>
              <w:rPr>
                <w:rFonts w:hint="eastAsia"/>
                <w:lang w:eastAsia="zh-CN"/>
              </w:rPr>
              <w:t>《</w:t>
            </w:r>
            <w:r>
              <w:rPr>
                <w:rFonts w:hint="eastAsia"/>
              </w:rPr>
              <w:t>不合格品控制程序</w:t>
            </w:r>
            <w:r>
              <w:rPr>
                <w:rFonts w:hint="eastAsia"/>
                <w:lang w:eastAsia="zh-CN"/>
              </w:rPr>
              <w:t>》</w:t>
            </w:r>
            <w:r>
              <w:rPr>
                <w:rFonts w:hint="eastAsia"/>
              </w:rPr>
              <w:t>等，对持续改进的过程予以规定，以实现环境和职业健康安全管理体系及产品符合性的持续改进。持续改进的过程包含持续改进的提出、立项、不合格的原因的</w:t>
            </w:r>
            <w:r>
              <w:rPr>
                <w:rFonts w:hint="eastAsia" w:ascii="宋体" w:hAnsi="宋体"/>
                <w:szCs w:val="21"/>
              </w:rPr>
              <w:t>分析、纠正措施的确定、跟踪和评价及负责部门和人员职责等。</w:t>
            </w:r>
          </w:p>
          <w:p>
            <w:pPr>
              <w:spacing w:line="360" w:lineRule="auto"/>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360" w:lineRule="auto"/>
              <w:rPr>
                <w:rFonts w:ascii="宋体" w:hAnsi="宋体"/>
                <w:szCs w:val="21"/>
              </w:rPr>
            </w:pPr>
          </w:p>
          <w:p>
            <w:pPr>
              <w:spacing w:line="360" w:lineRule="auto"/>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spacing w:line="360" w:lineRule="auto"/>
              <w:rPr>
                <w:rFonts w:hint="eastAsia"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szCs w:val="24"/>
              </w:rPr>
              <w:t>国家/地方抽查、相关方投诉处理</w:t>
            </w:r>
          </w:p>
        </w:tc>
        <w:tc>
          <w:tcPr>
            <w:tcW w:w="960" w:type="dxa"/>
            <w:vAlign w:val="top"/>
          </w:tcPr>
          <w:p>
            <w:pPr>
              <w:spacing w:line="360" w:lineRule="auto"/>
              <w:ind w:firstLine="420" w:firstLineChars="200"/>
              <w:rPr>
                <w:rFonts w:cs="Times New Roman" w:asciiTheme="minorEastAsia" w:hAnsiTheme="minorEastAsia" w:eastAsiaTheme="minorEastAsia"/>
                <w:kern w:val="2"/>
                <w:sz w:val="21"/>
                <w:szCs w:val="24"/>
                <w:lang w:val="en-US" w:eastAsia="zh-CN" w:bidi="ar-SA"/>
              </w:rPr>
            </w:pPr>
          </w:p>
        </w:tc>
        <w:tc>
          <w:tcPr>
            <w:tcW w:w="10004" w:type="dxa"/>
            <w:vAlign w:val="top"/>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自公司成立以来，未受到上级主管部门有关环境问题的行政处罚。未发生相关方的投诉。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hint="eastAsia"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szCs w:val="24"/>
              </w:rPr>
              <w:t>目前没有相关行政主管部门的检查处罚，在审核现场也未发现抽查、相关方投诉等情况。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spacing w:line="360" w:lineRule="auto"/>
              <w:ind w:firstLine="420" w:firstLineChars="200"/>
              <w:rPr>
                <w:rFonts w:hint="eastAsia"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szCs w:val="24"/>
              </w:rPr>
              <w:t>验证资质</w:t>
            </w:r>
          </w:p>
        </w:tc>
        <w:tc>
          <w:tcPr>
            <w:tcW w:w="960" w:type="dxa"/>
            <w:vAlign w:val="top"/>
          </w:tcPr>
          <w:p>
            <w:pPr>
              <w:spacing w:line="360" w:lineRule="auto"/>
              <w:ind w:firstLine="420" w:firstLineChars="200"/>
              <w:rPr>
                <w:rFonts w:cs="Times New Roman" w:asciiTheme="minorEastAsia" w:hAnsiTheme="minorEastAsia" w:eastAsiaTheme="minorEastAsia"/>
                <w:kern w:val="2"/>
                <w:sz w:val="21"/>
                <w:szCs w:val="24"/>
                <w:lang w:val="en-US" w:eastAsia="zh-CN" w:bidi="ar-SA"/>
              </w:rPr>
            </w:pPr>
          </w:p>
        </w:tc>
        <w:tc>
          <w:tcPr>
            <w:tcW w:w="10004" w:type="dxa"/>
            <w:vAlign w:val="top"/>
          </w:tcPr>
          <w:p>
            <w:pPr>
              <w:spacing w:line="360" w:lineRule="auto"/>
              <w:rPr>
                <w:rFonts w:hint="eastAsia"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szCs w:val="24"/>
              </w:rPr>
              <w:t>提供了组织营业执照均为有效。</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kern w:val="0"/>
                <w:sz w:val="21"/>
                <w:szCs w:val="21"/>
                <w:lang w:val="en-US" w:eastAsia="zh-CN"/>
              </w:rPr>
              <w:t>一阶段审核</w:t>
            </w:r>
            <w:r>
              <w:rPr>
                <w:rFonts w:hint="eastAsia" w:ascii="宋体" w:hAnsi="宋体"/>
                <w:kern w:val="0"/>
                <w:sz w:val="21"/>
                <w:szCs w:val="21"/>
              </w:rPr>
              <w:t>问题验证</w:t>
            </w:r>
          </w:p>
        </w:tc>
        <w:tc>
          <w:tcPr>
            <w:tcW w:w="960" w:type="dxa"/>
            <w:vAlign w:val="top"/>
          </w:tcPr>
          <w:p>
            <w:pPr>
              <w:rPr>
                <w:rFonts w:ascii="宋体" w:hAnsi="宋体" w:eastAsia="宋体" w:cs="Times New Roman"/>
                <w:color w:val="000000" w:themeColor="text1"/>
                <w:kern w:val="2"/>
                <w:sz w:val="21"/>
                <w:szCs w:val="21"/>
                <w:lang w:val="en-US" w:eastAsia="zh-CN" w:bidi="ar-SA"/>
              </w:rPr>
            </w:pPr>
          </w:p>
        </w:tc>
        <w:tc>
          <w:tcPr>
            <w:tcW w:w="10004"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kern w:val="0"/>
                <w:sz w:val="21"/>
                <w:szCs w:val="21"/>
                <w:lang w:val="en-US" w:eastAsia="zh-CN"/>
              </w:rPr>
              <w:t>一阶段未发生问题</w:t>
            </w:r>
            <w:r>
              <w:rPr>
                <w:rFonts w:hint="eastAsia" w:ascii="宋体" w:hAnsi="宋体"/>
                <w:color w:val="000000" w:themeColor="text1"/>
                <w:szCs w:val="21"/>
              </w:rPr>
              <w:t>。</w:t>
            </w:r>
          </w:p>
        </w:tc>
        <w:tc>
          <w:tcPr>
            <w:tcW w:w="1585" w:type="dxa"/>
          </w:tcPr>
          <w:p>
            <w:r>
              <w:rPr>
                <w:rFonts w:hint="eastAsia"/>
                <w:lang w:val="en-US" w:eastAsia="zh-CN"/>
              </w:rPr>
              <w:t>符合</w:t>
            </w:r>
          </w:p>
        </w:tc>
      </w:tr>
    </w:tbl>
    <w:p>
      <w:pPr>
        <w:jc w:val="both"/>
      </w:pPr>
      <w:r>
        <w:rPr>
          <w:rFonts w:hint="eastAsia"/>
        </w:rPr>
        <w:t>说明：不符合标注N</w:t>
      </w:r>
    </w:p>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833E08"/>
    <w:rsid w:val="31284143"/>
    <w:rsid w:val="3721094D"/>
    <w:rsid w:val="47725166"/>
    <w:rsid w:val="52BB031B"/>
    <w:rsid w:val="64333201"/>
    <w:rsid w:val="68DB2E0A"/>
    <w:rsid w:val="7399390F"/>
    <w:rsid w:val="75D742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18</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hb</cp:lastModifiedBy>
  <dcterms:modified xsi:type="dcterms:W3CDTF">2021-11-30T01:29:52Z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