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1093-2021-H</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shd w:val="clear" w:color="auto" w:fill="auto"/>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浙江大姆山食品有限公司</w:t>
            </w:r>
            <w:bookmarkEnd w:id="1"/>
          </w:p>
        </w:tc>
        <w:tc>
          <w:tcPr>
            <w:tcW w:w="1370" w:type="dxa"/>
            <w:shd w:val="clear" w:color="auto" w:fill="auto"/>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shd w:val="clear" w:color="auto" w:fill="auto"/>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shd w:val="clear" w:color="auto" w:fill="auto"/>
          </w:tcPr>
          <w:p>
            <w:pPr>
              <w:snapToGrid w:val="0"/>
              <w:spacing w:line="0" w:lineRule="atLeast"/>
              <w:jc w:val="center"/>
              <w:rPr>
                <w:rFonts w:hint="eastAsia"/>
                <w:sz w:val="22"/>
                <w:szCs w:val="22"/>
                <w:lang w:val="en-US" w:eastAsia="zh-CN"/>
              </w:rPr>
            </w:pPr>
          </w:p>
        </w:tc>
        <w:tc>
          <w:tcPr>
            <w:tcW w:w="1370" w:type="dxa"/>
            <w:shd w:val="clear" w:color="auto" w:fill="auto"/>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shd w:val="clear" w:color="auto" w:fill="auto"/>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shd w:val="clear" w:color="auto" w:fill="auto"/>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91330521068368231T</w:t>
            </w:r>
            <w:bookmarkEnd w:id="4"/>
          </w:p>
        </w:tc>
        <w:tc>
          <w:tcPr>
            <w:tcW w:w="1370" w:type="dxa"/>
            <w:shd w:val="clear" w:color="auto" w:fill="auto"/>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shd w:val="clear" w:color="auto" w:fill="auto"/>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shd w:val="clear" w:color="auto" w:fill="auto"/>
          </w:tcPr>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5" w:name="QJ勾选"/>
            <w:r>
              <w:rPr>
                <w:rFonts w:hint="eastAsia"/>
                <w:sz w:val="22"/>
                <w:szCs w:val="22"/>
                <w:lang w:val="en-US" w:eastAsia="zh-CN"/>
              </w:rPr>
              <w:t>□</w:t>
            </w:r>
            <w:bookmarkEnd w:id="5"/>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shd w:val="clear"/>
                <w:lang w:val="en-US" w:eastAsia="zh-CN"/>
              </w:rPr>
              <w:t>■</w:t>
            </w:r>
            <w:bookmarkEnd w:id="10"/>
            <w:r>
              <w:rPr>
                <w:rFonts w:hint="eastAsia"/>
                <w:sz w:val="22"/>
                <w:szCs w:val="22"/>
                <w:shd w:val="clear"/>
                <w:lang w:val="en-US" w:eastAsia="zh-CN"/>
              </w:rPr>
              <w:t>危害分析与关键控制点（HACCP）体系认证要求（V1.0）</w:t>
            </w:r>
          </w:p>
        </w:tc>
        <w:tc>
          <w:tcPr>
            <w:tcW w:w="1370" w:type="dxa"/>
            <w:shd w:val="clear" w:color="auto" w:fill="auto"/>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w:t>
            </w:r>
            <w:bookmarkStart w:id="19" w:name="_GoBack"/>
            <w:bookmarkEnd w:id="19"/>
            <w:r>
              <w:rPr>
                <w:rFonts w:hint="eastAsia"/>
                <w:sz w:val="22"/>
                <w:szCs w:val="22"/>
                <w:lang w:val="en-US" w:eastAsia="zh-CN"/>
              </w:rPr>
              <w:t>数</w:t>
            </w:r>
          </w:p>
        </w:tc>
        <w:tc>
          <w:tcPr>
            <w:tcW w:w="1976" w:type="dxa"/>
            <w:shd w:val="clear" w:color="auto" w:fill="auto"/>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shd w:val="clear" w:color="auto" w:fill="auto"/>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shd w:val="clear" w:color="auto" w:fill="auto"/>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76"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浙江大姆山食品有限公司</w:t>
            </w:r>
            <w:bookmarkEnd w:id="16"/>
          </w:p>
        </w:tc>
        <w:tc>
          <w:tcPr>
            <w:tcW w:w="5013" w:type="dxa"/>
            <w:gridSpan w:val="4"/>
            <w:vMerge w:val="restart"/>
            <w:shd w:val="clear" w:color="auto" w:fill="auto"/>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位于浙江省湖州市德清县武康镇环城北路39号浙江大姆山食品有限公司生产车间的蛋制品（咸蛋、咸蛋黄）生产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浙江省湖州市德清县阜溪街道环城北路39号</w:t>
            </w:r>
            <w:bookmarkEnd w:id="18"/>
          </w:p>
        </w:tc>
        <w:tc>
          <w:tcPr>
            <w:tcW w:w="5013" w:type="dxa"/>
            <w:gridSpan w:val="4"/>
            <w:vMerge w:val="continue"/>
            <w:shd w:val="clear" w:color="auto" w:fill="auto"/>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1"/>
                <w:szCs w:val="21"/>
                <w:highlight w:val="none"/>
                <w:lang w:val="en-US" w:eastAsia="zh-CN"/>
              </w:rPr>
              <w:t>浙江省湖州市德清县武康镇环城北路39号</w:t>
            </w:r>
          </w:p>
        </w:tc>
        <w:tc>
          <w:tcPr>
            <w:tcW w:w="5013" w:type="dxa"/>
            <w:gridSpan w:val="4"/>
            <w:vMerge w:val="continue"/>
            <w:shd w:val="clear" w:color="auto" w:fill="auto"/>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shd w:val="clear" w:color="auto" w:fill="auto"/>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1576"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shd w:val="clear" w:color="auto" w:fill="auto"/>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1576" w:type="dxa"/>
            <w:vMerge w:val="continue"/>
            <w:shd w:val="clear" w:color="auto" w:fill="auto"/>
          </w:tcPr>
          <w:p>
            <w:pPr>
              <w:snapToGrid w:val="0"/>
              <w:spacing w:line="0" w:lineRule="atLeast"/>
              <w:jc w:val="left"/>
              <w:rPr>
                <w:rFonts w:cs="Arial"/>
                <w:b/>
                <w:bCs/>
                <w:sz w:val="22"/>
                <w:szCs w:val="16"/>
                <w:lang w:val="en-US"/>
              </w:rPr>
            </w:pPr>
          </w:p>
        </w:tc>
        <w:tc>
          <w:tcPr>
            <w:tcW w:w="3373" w:type="dxa"/>
            <w:vMerge w:val="continue"/>
            <w:shd w:val="clear" w:color="auto" w:fill="auto"/>
          </w:tcPr>
          <w:p>
            <w:pPr>
              <w:snapToGrid w:val="0"/>
              <w:spacing w:line="0" w:lineRule="atLeast"/>
              <w:jc w:val="left"/>
              <w:rPr>
                <w:rFonts w:hint="eastAsia" w:cs="Arial"/>
                <w:b/>
                <w:bCs/>
                <w:sz w:val="22"/>
                <w:szCs w:val="16"/>
                <w:lang w:val="en-US" w:eastAsia="zh-CN"/>
              </w:rPr>
            </w:pPr>
          </w:p>
        </w:tc>
        <w:tc>
          <w:tcPr>
            <w:tcW w:w="1337"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shd w:val="clear" w:color="auto" w:fill="auto"/>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576"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576" w:type="dxa"/>
            <w:vMerge w:val="continue"/>
            <w:shd w:val="clear" w:color="auto" w:fill="auto"/>
          </w:tcPr>
          <w:p>
            <w:pPr>
              <w:snapToGrid w:val="0"/>
              <w:spacing w:line="0" w:lineRule="atLeast"/>
              <w:jc w:val="left"/>
              <w:rPr>
                <w:sz w:val="22"/>
                <w:szCs w:val="16"/>
              </w:rPr>
            </w:pPr>
          </w:p>
        </w:tc>
        <w:tc>
          <w:tcPr>
            <w:tcW w:w="3373" w:type="dxa"/>
            <w:vMerge w:val="continue"/>
            <w:shd w:val="clear" w:color="auto" w:fill="auto"/>
          </w:tcPr>
          <w:p>
            <w:pPr>
              <w:snapToGrid w:val="0"/>
              <w:spacing w:line="0" w:lineRule="atLeast"/>
              <w:jc w:val="left"/>
              <w:rPr>
                <w:rFonts w:cs="Arial"/>
                <w:b/>
                <w:bCs/>
                <w:sz w:val="22"/>
                <w:szCs w:val="16"/>
                <w:lang w:val="en-US" w:eastAsia="zh-CN"/>
              </w:rPr>
            </w:pPr>
          </w:p>
        </w:tc>
        <w:tc>
          <w:tcPr>
            <w:tcW w:w="1337" w:type="dxa"/>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1576" w:type="dxa"/>
            <w:vMerge w:val="continue"/>
            <w:shd w:val="clear" w:color="auto" w:fill="auto"/>
          </w:tcPr>
          <w:p>
            <w:pPr>
              <w:snapToGrid w:val="0"/>
              <w:spacing w:line="0" w:lineRule="atLeast"/>
              <w:jc w:val="left"/>
              <w:rPr>
                <w:rFonts w:cs="Arial"/>
                <w:b/>
                <w:bCs/>
                <w:sz w:val="22"/>
                <w:szCs w:val="16"/>
                <w:lang w:val="en-US"/>
              </w:rPr>
            </w:pPr>
          </w:p>
        </w:tc>
        <w:tc>
          <w:tcPr>
            <w:tcW w:w="3373" w:type="dxa"/>
            <w:vMerge w:val="continue"/>
            <w:shd w:val="clear" w:color="auto" w:fill="auto"/>
          </w:tcPr>
          <w:p>
            <w:pPr>
              <w:snapToGrid w:val="0"/>
              <w:spacing w:line="0" w:lineRule="atLeast"/>
              <w:jc w:val="left"/>
              <w:rPr>
                <w:rFonts w:cs="Arial"/>
                <w:b/>
                <w:bCs/>
                <w:sz w:val="22"/>
                <w:szCs w:val="16"/>
                <w:lang w:val="en-US" w:eastAsia="zh-CN"/>
              </w:rPr>
            </w:pPr>
          </w:p>
        </w:tc>
        <w:tc>
          <w:tcPr>
            <w:tcW w:w="1337"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962" w:type="dxa"/>
            <w:gridSpan w:val="6"/>
            <w:shd w:val="clear" w:color="auto" w:fill="auto"/>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trPr>
        <w:tc>
          <w:tcPr>
            <w:tcW w:w="1576" w:type="dxa"/>
            <w:shd w:val="clear" w:color="auto" w:fill="auto"/>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shd w:val="clear" w:color="auto" w:fill="auto"/>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shd w:val="clear" w:color="auto" w:fill="auto"/>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shd w:val="clear" w:color="auto" w:fill="auto"/>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F86335"/>
    <w:rsid w:val="7BDA44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2021-10-29T02:17:34Z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