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浙江大姆山食品有限公司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rFonts w:hint="eastAsia" w:ascii="宋体" w:hAnsi="宋体"/>
                <w:b/>
                <w:sz w:val="20"/>
                <w:szCs w:val="20"/>
                <w:lang w:eastAsia="zh-CN"/>
              </w:rPr>
              <w:sym w:font="Wingdings 2" w:char="0052"/>
            </w:r>
            <w:r>
              <w:rPr>
                <w:rFonts w:hint="eastAsia" w:ascii="宋体" w:hAnsi="宋体"/>
                <w:b/>
                <w:sz w:val="20"/>
                <w:szCs w:val="20"/>
                <w:lang w:eastAsia="zh-CN"/>
              </w:rPr>
              <w:t>《危害分析与关键控制点（HACCP体系）认证要求》（V1.0）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1093-2021-H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sym w:font="Wingdings 2" w:char="0052"/>
            </w:r>
            <w:r>
              <w:rPr>
                <w:rFonts w:hint="eastAsia"/>
                <w:sz w:val="22"/>
                <w:szCs w:val="22"/>
              </w:rPr>
              <w:t>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肖新龙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2021-10-26上午8:30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2021-10-26下午17:00</w:t>
            </w:r>
            <w:bookmarkStart w:id="12" w:name="_GoBack"/>
            <w:bookmarkEnd w:id="12"/>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7626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2021-10-26T16:23:50Z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