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胜利油田鸿兴科贸有限责任公司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0127</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127</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3360"/>
        <w:gridCol w:w="1625"/>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80"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360"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胜利油田鸿兴科贸有限责任公司</w:t>
            </w:r>
          </w:p>
        </w:tc>
        <w:tc>
          <w:tcPr>
            <w:tcW w:w="1625"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859" w:type="dxa"/>
            <w:vAlign w:val="center"/>
          </w:tcPr>
          <w:p>
            <w:pPr>
              <w:tabs>
                <w:tab w:val="left" w:pos="880"/>
              </w:tabs>
              <w:autoSpaceDE w:val="0"/>
              <w:autoSpaceDN w:val="0"/>
              <w:adjustRightInd w:val="0"/>
              <w:spacing w:before="35" w:line="360" w:lineRule="exact"/>
              <w:ind w:right="161"/>
              <w:jc w:val="center"/>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杨文娟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80"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认证证书编号</w:t>
            </w:r>
          </w:p>
        </w:tc>
        <w:tc>
          <w:tcPr>
            <w:tcW w:w="3360" w:type="dxa"/>
            <w:vAlign w:val="top"/>
          </w:tcPr>
          <w:p>
            <w:pPr>
              <w:tabs>
                <w:tab w:val="left" w:pos="880"/>
              </w:tabs>
              <w:autoSpaceDE w:val="0"/>
              <w:autoSpaceDN w:val="0"/>
              <w:adjustRightInd w:val="0"/>
              <w:spacing w:before="35" w:line="276" w:lineRule="auto"/>
              <w:ind w:right="161" w:rightChars="0"/>
              <w:rPr>
                <w:rFonts w:hint="default" w:asciiTheme="minorEastAsia" w:hAnsiTheme="minorEastAsia" w:eastAsiaTheme="minorEastAsia"/>
                <w:sz w:val="21"/>
                <w:szCs w:val="21"/>
                <w:lang w:val="en-US" w:eastAsia="zh-CN"/>
              </w:rPr>
            </w:pPr>
            <w:r>
              <w:rPr>
                <w:rFonts w:hint="eastAsia" w:cs="宋体" w:asciiTheme="minorEastAsia" w:hAnsiTheme="minorEastAsia"/>
                <w:kern w:val="0"/>
                <w:sz w:val="21"/>
                <w:szCs w:val="21"/>
                <w:lang w:val="en-US" w:eastAsia="zh-CN"/>
              </w:rPr>
              <w:t>ISC-2020-0771</w:t>
            </w:r>
          </w:p>
        </w:tc>
        <w:tc>
          <w:tcPr>
            <w:tcW w:w="1625"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r>
              <w:rPr>
                <w:rFonts w:hint="eastAsia" w:cs="宋体" w:asciiTheme="minorEastAsia" w:hAnsiTheme="minorEastAsia"/>
                <w:kern w:val="0"/>
                <w:sz w:val="21"/>
                <w:szCs w:val="21"/>
              </w:rPr>
              <w:t>证书有效期</w:t>
            </w:r>
          </w:p>
        </w:tc>
        <w:tc>
          <w:tcPr>
            <w:tcW w:w="2859"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lang w:val="en-US"/>
              </w:rPr>
            </w:pPr>
            <w:r>
              <w:rPr>
                <w:rFonts w:hint="eastAsia" w:cs="宋体" w:asciiTheme="minorEastAsia" w:hAnsiTheme="minorEastAsia"/>
                <w:kern w:val="0"/>
                <w:sz w:val="21"/>
                <w:szCs w:val="21"/>
                <w:lang w:val="en-US" w:eastAsia="zh-CN"/>
              </w:rPr>
              <w:t>2025.08.04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0"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1</w:t>
            </w:r>
            <w:r>
              <w:rPr>
                <w:rFonts w:hint="eastAsia"/>
                <w:sz w:val="21"/>
                <w:szCs w:val="21"/>
              </w:rPr>
              <w:t>次监督审核</w:t>
            </w:r>
          </w:p>
        </w:tc>
        <w:tc>
          <w:tcPr>
            <w:tcW w:w="1625"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859"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10</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22下午-23</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80"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0"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r>
              <w:rPr>
                <w:rFonts w:hint="eastAsia" w:ascii="宋体" w:hAnsi="宋体" w:eastAsia="宋体" w:cs="宋体"/>
                <w:color w:val="000000"/>
                <w:sz w:val="21"/>
                <w:szCs w:val="21"/>
                <w:lang w:val="en-US" w:eastAsia="zh-CN"/>
              </w:rPr>
              <w:t xml:space="preserve">刘复荣 </w:t>
            </w:r>
            <w:r>
              <w:rPr>
                <w:rFonts w:hint="eastAsia" w:ascii="宋体" w:hAnsi="宋体" w:eastAsia="宋体" w:cs="宋体"/>
                <w:sz w:val="21"/>
                <w:szCs w:val="21"/>
              </w:rPr>
              <w:t>2019-M1MMS-1274279</w:t>
            </w:r>
          </w:p>
        </w:tc>
        <w:tc>
          <w:tcPr>
            <w:tcW w:w="1625"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859" w:type="dxa"/>
            <w:vAlign w:val="center"/>
          </w:tcPr>
          <w:p>
            <w:pPr>
              <w:rPr>
                <w:rFonts w:ascii="宋体" w:hAnsi="宋体" w:eastAsia="宋体" w:cs="Times New Roman"/>
                <w:bCs/>
                <w:sz w:val="21"/>
                <w:szCs w:val="21"/>
              </w:rPr>
            </w:pPr>
            <w:r>
              <w:rPr>
                <w:rFonts w:hint="eastAsia" w:ascii="宋体" w:hAnsi="宋体" w:eastAsia="宋体" w:cs="宋体"/>
                <w:bCs/>
                <w:sz w:val="21"/>
                <w:szCs w:val="21"/>
                <w:lang w:val="en-US" w:eastAsia="zh-CN"/>
              </w:rPr>
              <w:t xml:space="preserve"> 质检部（质检、技术）、</w:t>
            </w:r>
            <w:r>
              <w:rPr>
                <w:rFonts w:hint="eastAsia" w:ascii="宋体" w:hAnsi="宋体"/>
                <w:sz w:val="21"/>
                <w:szCs w:val="21"/>
                <w:lang w:val="en-US" w:eastAsia="zh-CN"/>
              </w:rPr>
              <w:t>生产部（生产车间）</w:t>
            </w:r>
            <w:r>
              <w:rPr>
                <w:rFonts w:hint="eastAsia" w:ascii="宋体" w:hAnsi="宋体" w:eastAsia="宋体" w:cs="宋体"/>
                <w:bCs/>
                <w:sz w:val="21"/>
                <w:szCs w:val="21"/>
                <w:lang w:val="en-US" w:eastAsia="zh-CN"/>
              </w:rPr>
              <w:t>综合部、销售部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胜利油田鸿兴科贸有限责任公司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bookmarkStart w:id="4" w:name="_GoBack"/>
      <w:bookmarkEnd w:id="4"/>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7</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管理者代表王桥任审核组长组织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2个作业区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7</w:t>
      </w:r>
      <w:r>
        <w:rPr>
          <w:rFonts w:hint="eastAsia" w:ascii="宋体" w:hAnsi="宋体" w:cs="宋体"/>
          <w:bCs/>
          <w:kern w:val="0"/>
          <w:szCs w:val="21"/>
        </w:rPr>
        <w:t>月</w:t>
      </w:r>
      <w:r>
        <w:rPr>
          <w:rFonts w:hint="eastAsia" w:ascii="宋体" w:hAnsi="宋体" w:cs="宋体"/>
          <w:bCs/>
          <w:kern w:val="0"/>
          <w:szCs w:val="21"/>
          <w:lang w:val="en-US" w:eastAsia="zh-CN"/>
        </w:rPr>
        <w:t>22</w:t>
      </w:r>
      <w:r>
        <w:rPr>
          <w:rFonts w:hint="eastAsia" w:ascii="宋体" w:hAnsi="宋体" w:cs="宋体"/>
          <w:bCs/>
          <w:kern w:val="0"/>
          <w:szCs w:val="21"/>
        </w:rPr>
        <w:t>日，开展了测量体系管理</w:t>
      </w:r>
      <w:r>
        <w:rPr>
          <w:rFonts w:hint="eastAsia" w:ascii="宋体" w:hAnsi="宋体" w:cs="宋体"/>
          <w:bCs/>
          <w:kern w:val="0"/>
          <w:szCs w:val="21"/>
          <w:lang w:eastAsia="zh-CN"/>
        </w:rPr>
        <w:t>管理</w:t>
      </w:r>
      <w:r>
        <w:rPr>
          <w:rFonts w:hint="eastAsia" w:ascii="宋体" w:hAnsi="宋体" w:cs="宋体"/>
          <w:bCs/>
          <w:kern w:val="0"/>
          <w:szCs w:val="21"/>
        </w:rPr>
        <w:t>评审，会议由</w:t>
      </w:r>
      <w:r>
        <w:rPr>
          <w:bCs/>
          <w:szCs w:val="21"/>
        </w:rPr>
        <w:t>会议由企业总经理</w:t>
      </w:r>
      <w:r>
        <w:rPr>
          <w:rFonts w:hint="eastAsia"/>
          <w:bCs/>
          <w:szCs w:val="21"/>
          <w:lang w:eastAsia="zh-CN"/>
        </w:rPr>
        <w:t>杨文娟</w:t>
      </w:r>
      <w:r>
        <w:rPr>
          <w:szCs w:val="21"/>
        </w:rPr>
        <w:t>主持</w:t>
      </w:r>
      <w:r>
        <w:rPr>
          <w:bCs/>
          <w:szCs w:val="21"/>
        </w:rPr>
        <w:t>、</w:t>
      </w:r>
      <w:r>
        <w:rPr>
          <w:szCs w:val="21"/>
        </w:rPr>
        <w:t>管理者代表</w:t>
      </w:r>
      <w:r>
        <w:rPr>
          <w:rFonts w:hint="eastAsia"/>
          <w:szCs w:val="21"/>
          <w:lang w:eastAsia="zh-CN"/>
        </w:rPr>
        <w:t>王桥</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r>
        <w:rPr>
          <w:rFonts w:ascii="Helvetica" w:hAnsi="Helvetica" w:eastAsia="Helvetica" w:cs="Helvetica"/>
          <w:i w:val="0"/>
          <w:caps w:val="0"/>
          <w:color w:val="000000"/>
          <w:spacing w:val="0"/>
          <w:sz w:val="21"/>
          <w:szCs w:val="21"/>
          <w:shd w:val="clear" w:color="auto" w:fill="FFFFFF"/>
        </w:rPr>
        <w:t>抗磨、防腐内衬油管、抽油机配件、工业泵配件生产；钢管的内衬涂敷及销售；油管修复;汽车配件、五金工具、管材管件、玻璃钢制品、燃烧器、护栏、石油机械钻采配件、加药装置、标牌、智能节电装置、围油栏、卫生洁具、塑料制品（PE 制品、PPR制品、PVC制品）、船舶用设备及配件、保温制品、橡胶制品（胶管、胶板、密封件）、装饰材料（地板、瓷砖、门窗、壁纸、装饰木材、木制品）、金属制品（含刺绳、刺网、筛网、活动板房）、安防器材、通讯器材、电子产品及元器件、灯具照明设备及配件、建筑材料（混凝土制品、彩钢板、吸音板、隔音板、砖、砌块、砂石料及石灰）、石英砂、防火门窗及防火材料、防水材料、实验室装置及配件、办公自动化设备、供暖设备及配件、石油机械设备（自动化系统设备、水处理设备、井口装置及配件）、仪器仪表及配件、日用杂品、家具</w:t>
      </w:r>
      <w:r>
        <w:rPr>
          <w:rFonts w:hint="eastAsia" w:ascii="Helvetica" w:hAnsi="Helvetica" w:eastAsia="宋体" w:cs="Helvetica"/>
          <w:i w:val="0"/>
          <w:caps w:val="0"/>
          <w:color w:val="000000"/>
          <w:spacing w:val="0"/>
          <w:sz w:val="21"/>
          <w:szCs w:val="21"/>
          <w:shd w:val="clear" w:color="auto" w:fill="FFFFFF"/>
          <w:lang w:eastAsia="zh-CN"/>
        </w:rPr>
        <w:t>、</w:t>
      </w:r>
      <w:r>
        <w:rPr>
          <w:rFonts w:hint="eastAsia" w:ascii="Helvetica" w:hAnsi="Helvetica" w:eastAsia="Helvetica" w:cs="Helvetica"/>
          <w:i w:val="0"/>
          <w:caps w:val="0"/>
          <w:color w:val="000000"/>
          <w:spacing w:val="0"/>
          <w:sz w:val="21"/>
          <w:szCs w:val="21"/>
          <w:shd w:val="clear" w:color="auto" w:fill="FFFFFF"/>
        </w:rPr>
        <w:t>内燃机配件、工矿配件( 含球磨机配件、减速机配件、风机配件、起重机械配件、冷冻机配件、锅炉配件、汽轮机配件、液压配件)</w:t>
      </w:r>
      <w:r>
        <w:rPr>
          <w:rFonts w:ascii="Helvetica" w:hAnsi="Helvetica" w:eastAsia="Helvetica" w:cs="Helvetica"/>
          <w:i w:val="0"/>
          <w:caps w:val="0"/>
          <w:color w:val="000000"/>
          <w:spacing w:val="0"/>
          <w:sz w:val="21"/>
          <w:szCs w:val="21"/>
          <w:shd w:val="clear" w:color="auto" w:fill="FFFFFF"/>
        </w:rPr>
        <w:t>的</w:t>
      </w:r>
      <w:r>
        <w:rPr>
          <w:rFonts w:hint="eastAsia" w:ascii="宋体" w:hAnsi="宋体"/>
          <w:b w:val="0"/>
          <w:bCs/>
          <w:sz w:val="21"/>
          <w:szCs w:val="21"/>
          <w:lang w:eastAsia="zh-CN"/>
        </w:rPr>
        <w:t>销售服务</w:t>
      </w:r>
      <w:r>
        <w:rPr>
          <w:color w:val="000000"/>
          <w:szCs w:val="21"/>
        </w:rPr>
        <w:t>等</w:t>
      </w:r>
      <w:r>
        <w:rPr>
          <w:rFonts w:hint="eastAsia" w:ascii="宋体" w:hAnsi="宋体"/>
          <w:szCs w:val="21"/>
          <w:lang w:eastAsia="zh-CN"/>
        </w:rPr>
        <w:t>。</w:t>
      </w:r>
      <w:r>
        <w:rPr>
          <w:rFonts w:hint="eastAsia"/>
          <w:color w:val="000000"/>
          <w:szCs w:val="21"/>
          <w:lang w:eastAsia="zh-CN"/>
        </w:rPr>
        <w:t>质检部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：内衬油管壁厚测量、</w:t>
      </w:r>
      <w:r>
        <w:rPr>
          <w:rFonts w:hint="eastAsia" w:ascii="Times New Roman" w:hAnsi="Times New Roman" w:eastAsia="宋体" w:cs="Times New Roman"/>
          <w:sz w:val="21"/>
          <w:szCs w:val="21"/>
          <w:lang w:val="en-US" w:eastAsia="zh-CN"/>
        </w:rPr>
        <w:t>曲柄销硬度检验</w:t>
      </w:r>
      <w:r>
        <w:rPr>
          <w:color w:val="000000"/>
          <w:szCs w:val="21"/>
        </w:rPr>
        <w:t>；</w:t>
      </w:r>
      <w:r>
        <w:rPr>
          <w:rFonts w:hint="eastAsia"/>
          <w:color w:val="000000"/>
          <w:szCs w:val="21"/>
        </w:rPr>
        <w:t>抗磨、防腐内衬油管抗拉强度</w:t>
      </w:r>
      <w:r>
        <w:rPr>
          <w:rFonts w:hint="eastAsia" w:ascii="宋体" w:hAnsi="宋体" w:eastAsia="宋体" w:cs="宋体"/>
          <w:snapToGrid w:val="0"/>
          <w:color w:val="000000"/>
          <w:kern w:val="0"/>
          <w:szCs w:val="21"/>
          <w:lang w:eastAsia="zh-CN"/>
        </w:rPr>
        <w:t>等</w:t>
      </w:r>
      <w:r>
        <w:rPr>
          <w:rFonts w:hint="eastAsia" w:ascii="宋体" w:hAnsi="宋体" w:eastAsia="宋体" w:cs="宋体"/>
          <w:snapToGrid w:val="0"/>
          <w:color w:val="000000"/>
          <w:kern w:val="0"/>
          <w:szCs w:val="21"/>
          <w:lang w:val="en-US" w:eastAsia="zh-CN"/>
        </w:rPr>
        <w:t>47</w:t>
      </w:r>
      <w:r>
        <w:rPr>
          <w:rFonts w:hint="eastAsia" w:ascii="宋体" w:hAnsi="宋体" w:cs="宋体"/>
          <w:kern w:val="0"/>
          <w:szCs w:val="21"/>
          <w:lang w:val="en-US" w:eastAsia="zh-CN"/>
        </w:rPr>
        <w:t>个测量过程，新增加一个的</w:t>
      </w:r>
      <w:r>
        <w:rPr>
          <w:rFonts w:hint="eastAsia" w:ascii="宋体" w:hAnsi="宋体" w:cs="宋体"/>
          <w:bCs/>
          <w:kern w:val="0"/>
          <w:szCs w:val="21"/>
          <w:lang w:eastAsia="zh-CN"/>
        </w:rPr>
        <w:t>关键测量过程；</w:t>
      </w:r>
      <w:r>
        <w:rPr>
          <w:rFonts w:hint="eastAsia" w:ascii="宋体" w:hAnsi="宋体" w:cs="宋体"/>
          <w:bCs/>
          <w:kern w:val="0"/>
          <w:szCs w:val="21"/>
        </w:rPr>
        <w:t>“Φ73mm</w:t>
      </w:r>
      <w:r>
        <w:rPr>
          <w:rFonts w:hint="eastAsia" w:ascii="Times New Roman" w:hAnsi="Times New Roman" w:cs="Times New Roman"/>
          <w:bCs/>
          <w:kern w:val="0"/>
          <w:szCs w:val="21"/>
          <w:lang w:eastAsia="zh-CN"/>
        </w:rPr>
        <w:t>内衬油管壁厚测量</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32</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备器具进行了计量确认和验证。全部在有效期内，验证结果均为合格。关键测量过程：“Φ73mm</w:t>
      </w:r>
      <w:r>
        <w:rPr>
          <w:rFonts w:hint="eastAsia" w:ascii="Times New Roman" w:hAnsi="Times New Roman" w:cs="Times New Roman"/>
          <w:bCs/>
          <w:kern w:val="0"/>
          <w:szCs w:val="21"/>
          <w:lang w:eastAsia="zh-CN"/>
        </w:rPr>
        <w:t>内衬油管壁厚测量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新</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加一个</w:t>
      </w:r>
      <w:r>
        <w:rPr>
          <w:rFonts w:ascii="Times New Roman" w:hAnsi="Times New Roman" w:cs="Times New Roman"/>
          <w:bCs/>
          <w:kern w:val="0"/>
          <w:szCs w:val="21"/>
        </w:rPr>
        <w:t>关键测量过程</w:t>
      </w:r>
      <w:r>
        <w:rPr>
          <w:rFonts w:hint="eastAsia" w:ascii="Times New Roman" w:hAnsi="Times New Roman" w:cs="Times New Roman"/>
          <w:bCs/>
          <w:kern w:val="0"/>
          <w:szCs w:val="21"/>
          <w:lang w:eastAsia="zh-CN"/>
        </w:rPr>
        <w:t>，查</w:t>
      </w:r>
      <w:r>
        <w:rPr>
          <w:rFonts w:ascii="Times New Roman" w:hAnsi="Times New Roman" w:cs="Times New Roman"/>
          <w:bCs/>
          <w:kern w:val="0"/>
          <w:szCs w:val="21"/>
        </w:rPr>
        <w:t>《</w:t>
      </w:r>
      <w:r>
        <w:rPr>
          <w:rFonts w:hint="eastAsia" w:ascii="Times New Roman" w:hAnsi="Times New Roman" w:cs="Times New Roman"/>
          <w:bCs/>
          <w:kern w:val="0"/>
          <w:szCs w:val="21"/>
        </w:rPr>
        <w:t>Φ73mm</w:t>
      </w:r>
      <w:r>
        <w:rPr>
          <w:rFonts w:hint="eastAsia" w:ascii="Times New Roman" w:hAnsi="Times New Roman" w:cs="Times New Roman"/>
          <w:bCs/>
          <w:kern w:val="0"/>
          <w:szCs w:val="21"/>
          <w:lang w:eastAsia="zh-CN"/>
        </w:rPr>
        <w:t>内衬油管壁厚测量过程</w:t>
      </w:r>
      <w:r>
        <w:rPr>
          <w:rFonts w:ascii="Times New Roman" w:hAnsi="Times New Roman" w:cs="Times New Roman"/>
          <w:bCs/>
          <w:kern w:val="0"/>
          <w:szCs w:val="21"/>
        </w:rPr>
        <w:t>》，计量要求导出和计量验证记录表填写规范，计量要求导出方法正确；测量设备的配备满足计量要求，测量设备经过检定校准，测量设备验证方法正确。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Times New Roman" w:hAnsi="Times New Roman" w:cs="Times New Roman"/>
          <w:bCs/>
          <w:kern w:val="0"/>
          <w:sz w:val="21"/>
          <w:szCs w:val="21"/>
        </w:rPr>
        <w:t>Φ73mm</w:t>
      </w:r>
      <w:r>
        <w:rPr>
          <w:rFonts w:hint="eastAsia" w:ascii="Times New Roman" w:hAnsi="Times New Roman" w:cs="Times New Roman"/>
          <w:bCs/>
          <w:kern w:val="0"/>
          <w:szCs w:val="21"/>
          <w:lang w:eastAsia="zh-CN"/>
        </w:rPr>
        <w:t>内衬油管壁厚测量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rPr>
        <w:t>Φ73mm</w:t>
      </w:r>
      <w:r>
        <w:rPr>
          <w:rFonts w:hint="eastAsia" w:ascii="Times New Roman" w:hAnsi="Times New Roman" w:cs="Times New Roman"/>
          <w:bCs/>
          <w:kern w:val="0"/>
          <w:szCs w:val="21"/>
          <w:lang w:eastAsia="zh-CN"/>
        </w:rPr>
        <w:t>内衬油管壁厚</w:t>
      </w:r>
      <w:r>
        <w:rPr>
          <w:rFonts w:hint="eastAsia"/>
        </w:rPr>
        <w:t>测量过程</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bCs/>
          <w:color w:val="000000"/>
          <w:szCs w:val="21"/>
          <w:highlight w:val="none"/>
        </w:rPr>
        <w:t>未对计量校准服务方进行调查和评价</w:t>
      </w:r>
      <w:r>
        <w:rPr>
          <w:rFonts w:hint="eastAsia" w:ascii="宋体" w:hAnsi="宋体"/>
          <w:szCs w:val="21"/>
          <w:lang w:val="en-US" w:eastAsia="zh-CN"/>
        </w:rPr>
        <w:t>，不符合</w:t>
      </w:r>
      <w:r>
        <w:rPr>
          <w:rFonts w:hint="eastAsia" w:ascii="宋体" w:hAnsi="宋体" w:eastAsia="宋体" w:cs="宋体"/>
          <w:kern w:val="0"/>
          <w:szCs w:val="21"/>
          <w:highlight w:val="none"/>
        </w:rPr>
        <w:t>GB</w:t>
      </w:r>
      <w:r>
        <w:rPr>
          <w:rFonts w:ascii="宋体" w:hAnsi="宋体" w:eastAsia="宋体" w:cs="宋体"/>
          <w:kern w:val="0"/>
          <w:szCs w:val="21"/>
          <w:highlight w:val="none"/>
        </w:rPr>
        <w:t>/</w:t>
      </w:r>
      <w:r>
        <w:rPr>
          <w:rFonts w:hint="eastAsia" w:ascii="宋体" w:hAnsi="宋体" w:eastAsia="宋体" w:cs="宋体"/>
          <w:kern w:val="0"/>
          <w:szCs w:val="21"/>
          <w:highlight w:val="none"/>
        </w:rPr>
        <w:t>T</w:t>
      </w:r>
      <w:r>
        <w:rPr>
          <w:rFonts w:ascii="宋体" w:hAnsi="宋体" w:eastAsia="宋体" w:cs="宋体"/>
          <w:kern w:val="0"/>
          <w:szCs w:val="21"/>
          <w:highlight w:val="none"/>
        </w:rPr>
        <w:t>19022-2003</w:t>
      </w:r>
      <w:r>
        <w:rPr>
          <w:rFonts w:hint="eastAsia" w:ascii="宋体" w:hAnsi="宋体" w:eastAsia="宋体" w:cs="宋体"/>
          <w:kern w:val="0"/>
          <w:szCs w:val="21"/>
          <w:highlight w:val="none"/>
        </w:rPr>
        <w:t>中</w:t>
      </w:r>
      <w:r>
        <w:rPr>
          <w:rFonts w:hint="eastAsia" w:ascii="宋体" w:hAnsi="宋体" w:cs="宋体"/>
          <w:kern w:val="0"/>
          <w:szCs w:val="21"/>
          <w:highlight w:val="none"/>
        </w:rPr>
        <w:t>6.4 外部供方</w:t>
      </w:r>
      <w:r>
        <w:rPr>
          <w:rFonts w:hint="eastAsia" w:ascii="宋体" w:hAnsi="宋体" w:cs="宋体"/>
          <w:kern w:val="0"/>
          <w:szCs w:val="21"/>
          <w:u w:val="none"/>
          <w:lang w:eastAsia="zh-CN"/>
        </w:rPr>
        <w:t>规定</w:t>
      </w:r>
      <w:r>
        <w:rPr>
          <w:rFonts w:hint="eastAsia" w:ascii="宋体" w:hAnsi="宋体"/>
          <w:szCs w:val="21"/>
          <w:u w:val="none"/>
          <w:lang w:val="en-US" w:eastAsia="zh-CN"/>
        </w:rPr>
        <w:t>要求”</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highlight w:val="none"/>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w:t>
      </w:r>
      <w:r>
        <w:rPr>
          <w:rFonts w:hint="eastAsia" w:ascii="宋体" w:hAnsi="宋体" w:cs="宋体"/>
          <w:bCs/>
          <w:kern w:val="0"/>
          <w:szCs w:val="21"/>
          <w:highlight w:val="none"/>
          <w:lang w:val="en-US" w:eastAsia="zh-CN"/>
        </w:rPr>
        <w:t>变更（2021.8.13），增加经营范围。附工商核准证明，</w:t>
      </w:r>
      <w:r>
        <w:rPr>
          <w:rFonts w:hint="eastAsia" w:ascii="宋体" w:hAnsi="宋体" w:cs="宋体"/>
          <w:b w:val="0"/>
          <w:bCs/>
          <w:kern w:val="0"/>
          <w:szCs w:val="21"/>
          <w:highlight w:val="none"/>
          <w:lang w:val="en-US" w:eastAsia="zh-CN"/>
        </w:rPr>
        <w:t>认证范围没有变化</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胜利油田、中原石油工程公司、西南石油工程公司、胜利石油工程公司等</w:t>
      </w:r>
      <w:r>
        <w:rPr>
          <w:rFonts w:hint="eastAsia" w:ascii="宋体" w:hAnsi="宋体" w:cs="宋体"/>
          <w:bCs/>
          <w:kern w:val="0"/>
          <w:szCs w:val="21"/>
          <w:highlight w:val="none"/>
          <w:lang w:eastAsia="zh-CN"/>
        </w:rPr>
        <w:t>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ind w:firstLine="420" w:firstLineChars="200"/>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Times New Roman" w:hAnsi="Times New Roman" w:eastAsia="宋体" w:cs="Times New Roman"/>
          <w:b w:val="0"/>
          <w:bCs w:val="0"/>
          <w:color w:val="auto"/>
          <w:sz w:val="21"/>
          <w:szCs w:val="21"/>
          <w:lang w:val="en-US" w:eastAsia="zh-CN"/>
        </w:rPr>
        <w:t>查质检部实验室现场，未配备环境监视设备</w:t>
      </w:r>
      <w:r>
        <w:rPr>
          <w:rFonts w:hint="eastAsia" w:ascii="宋体" w:hAnsi="宋体" w:cs="宋体"/>
          <w:b w:val="0"/>
          <w:bCs w:val="0"/>
          <w:kern w:val="0"/>
          <w:szCs w:val="21"/>
          <w:lang w:val="en-US" w:eastAsia="zh-CN"/>
        </w:rPr>
        <w:t>。</w:t>
      </w:r>
      <w:r>
        <w:rPr>
          <w:rFonts w:hint="eastAsia" w:ascii="宋体" w:hAnsi="宋体"/>
          <w:szCs w:val="21"/>
        </w:rPr>
        <w:t>不满足标准GB/T 19022-2003</w:t>
      </w:r>
      <w:r>
        <w:rPr>
          <w:rFonts w:hint="eastAsia" w:ascii="宋体" w:hAnsi="宋体"/>
          <w:szCs w:val="21"/>
          <w:lang w:eastAsia="zh-CN"/>
        </w:rPr>
        <w:t>标准</w:t>
      </w:r>
      <w:r>
        <w:rPr>
          <w:rFonts w:hint="eastAsia" w:ascii="宋体" w:hAnsi="宋体"/>
          <w:szCs w:val="21"/>
          <w:lang w:val="en-US" w:eastAsia="zh-CN"/>
        </w:rPr>
        <w:t>6.3.2条款环境</w:t>
      </w:r>
      <w:r>
        <w:rPr>
          <w:rFonts w:hint="eastAsia" w:ascii="宋体" w:hAnsi="宋体"/>
          <w:szCs w:val="21"/>
          <w:lang w:eastAsia="zh-CN"/>
        </w:rPr>
        <w:t>的</w:t>
      </w:r>
      <w:r>
        <w:rPr>
          <w:rFonts w:hint="eastAsia" w:ascii="宋体" w:hAnsi="宋体"/>
          <w:szCs w:val="21"/>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2021年1月至9月，</w:t>
      </w:r>
      <w:r>
        <w:rPr>
          <w:rFonts w:hint="eastAsia" w:ascii="宋体" w:hAnsi="宋体" w:cs="宋体"/>
          <w:b w:val="0"/>
          <w:bCs/>
          <w:kern w:val="0"/>
          <w:szCs w:val="21"/>
          <w:highlight w:val="none"/>
        </w:rPr>
        <w:t>耗能为138.94吨标煤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。水表2.</w:t>
      </w:r>
      <w:r>
        <w:rPr>
          <w:rFonts w:hint="eastAsia"/>
          <w:b w:val="0"/>
          <w:bCs/>
          <w:szCs w:val="21"/>
          <w:highlight w:val="none"/>
          <w:lang w:val="en-US" w:eastAsia="zh-CN"/>
        </w:rPr>
        <w:t>5</w:t>
      </w:r>
      <w:r>
        <w:rPr>
          <w:rFonts w:hint="eastAsia"/>
          <w:b w:val="0"/>
          <w:bCs/>
          <w:szCs w:val="21"/>
          <w:highlight w:val="none"/>
          <w:lang w:eastAsia="zh-CN"/>
        </w:rPr>
        <w:t>级</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22下午-23日上午</w:t>
      </w:r>
      <w:r>
        <w:rPr>
          <w:rFonts w:hint="eastAsia" w:ascii="宋体" w:hAnsi="宋体" w:cs="宋体"/>
          <w:bCs/>
          <w:color w:val="auto"/>
          <w:kern w:val="0"/>
          <w:szCs w:val="21"/>
        </w:rPr>
        <w:t>，对</w:t>
      </w:r>
      <w:r>
        <w:rPr>
          <w:rFonts w:hint="eastAsia" w:ascii="宋体" w:hAnsi="宋体"/>
          <w:color w:val="auto"/>
          <w:szCs w:val="21"/>
          <w:lang w:eastAsia="zh-CN"/>
        </w:rPr>
        <w:t>胜利油田鸿兴科贸有限责任公司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增加一个新的关键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胜利油田鸿兴科贸有限责任公司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ind w:firstLine="420" w:firstLineChars="200"/>
        <w:rPr>
          <w:rFonts w:hint="eastAsia" w:ascii="宋体" w:hAnsi="宋体" w:cs="宋体"/>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2021.10.23</w:t>
      </w:r>
    </w:p>
    <w:p>
      <w:pPr>
        <w:widowControl/>
        <w:spacing w:line="360" w:lineRule="auto"/>
        <w:rPr>
          <w:rFonts w:ascii="宋体" w:cs="宋体"/>
          <w:b/>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color w:val="000000"/>
          <w:kern w:val="0"/>
          <w:szCs w:val="21"/>
        </w:rPr>
        <w:t>审核</w:t>
      </w:r>
      <w:r>
        <w:rPr>
          <w:rFonts w:hint="eastAsia" w:ascii="宋体" w:hAnsi="宋体" w:eastAsia="宋体" w:cs="宋体"/>
          <w:b/>
          <w:bCs/>
          <w:color w:val="000000"/>
          <w:kern w:val="0"/>
          <w:szCs w:val="21"/>
        </w:rPr>
        <w:t>组成员(</w:t>
      </w:r>
      <w:r>
        <w:rPr>
          <w:rFonts w:ascii="宋体" w:hAnsi="宋体" w:eastAsia="宋体" w:cs="宋体"/>
          <w:b/>
          <w:bCs/>
          <w:color w:val="000000"/>
          <w:kern w:val="0"/>
          <w:szCs w:val="21"/>
        </w:rPr>
        <w:t>签字</w:t>
      </w:r>
      <w:r>
        <w:rPr>
          <w:rFonts w:hint="eastAsia" w:ascii="宋体" w:hAnsi="宋体" w:eastAsia="宋体" w:cs="宋体"/>
          <w:b/>
          <w:bCs/>
          <w:color w:val="000000"/>
          <w:kern w:val="0"/>
          <w:szCs w:val="21"/>
        </w:rPr>
        <w:t>)</w:t>
      </w:r>
      <w:r>
        <w:rPr>
          <w:rFonts w:ascii="宋体" w:hAnsi="宋体" w:eastAsia="宋体" w:cs="宋体"/>
          <w:b/>
          <w:bCs/>
          <w:color w:val="000000"/>
          <w:kern w:val="0"/>
          <w:szCs w:val="21"/>
        </w:rPr>
        <w:t>：</w:t>
      </w:r>
      <w:r>
        <w:rPr>
          <w:rFonts w:hint="eastAsia" w:ascii="宋体" w:hAnsi="宋体" w:eastAsia="宋体" w:cs="宋体"/>
          <w:b/>
          <w:bCs/>
          <w:color w:val="000000"/>
          <w:kern w:val="0"/>
          <w:szCs w:val="21"/>
        </w:rPr>
        <w:t xml:space="preserve">    </w:t>
      </w:r>
      <w:r>
        <w:rPr>
          <w:rFonts w:hint="default" w:eastAsia="宋体"/>
          <w:color w:val="000000"/>
          <w:szCs w:val="21"/>
          <w:lang w:val="en-US" w:eastAsia="zh-CN"/>
        </w:rPr>
        <w:drawing>
          <wp:inline distT="0" distB="0" distL="114300" distR="114300">
            <wp:extent cx="641350" cy="330200"/>
            <wp:effectExtent l="0" t="0" r="6350" b="12700"/>
            <wp:docPr id="4" name="图片 3" descr="759470c534342df2366bbe92098e5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759470c534342df2366bbe92098e53a"/>
                    <pic:cNvPicPr>
                      <a:picLocks noChangeAspect="1"/>
                    </pic:cNvPicPr>
                  </pic:nvPicPr>
                  <pic:blipFill>
                    <a:blip r:embed="rId7"/>
                    <a:stretch>
                      <a:fillRect/>
                    </a:stretch>
                  </pic:blipFill>
                  <pic:spPr>
                    <a:xfrm>
                      <a:off x="0" y="0"/>
                      <a:ext cx="641350" cy="330200"/>
                    </a:xfrm>
                    <a:prstGeom prst="rect">
                      <a:avLst/>
                    </a:prstGeom>
                    <a:noFill/>
                    <a:ln>
                      <a:noFill/>
                    </a:ln>
                  </pic:spPr>
                </pic:pic>
              </a:graphicData>
            </a:graphic>
          </wp:inline>
        </w:drawing>
      </w:r>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Cs w:val="21"/>
          <w:lang w:val="en-US" w:eastAsia="zh-CN"/>
        </w:rPr>
        <w:t xml:space="preserve">      </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日</w:t>
      </w:r>
      <w:r>
        <w:rPr>
          <w:rFonts w:hint="eastAsia" w:ascii="宋体" w:hAnsi="宋体" w:eastAsia="宋体" w:cs="宋体"/>
          <w:b/>
          <w:bCs/>
          <w:color w:val="000000"/>
          <w:kern w:val="0"/>
          <w:szCs w:val="21"/>
        </w:rPr>
        <w:t xml:space="preserve"> </w:t>
      </w:r>
      <w:r>
        <w:rPr>
          <w:rFonts w:ascii="宋体" w:hAnsi="宋体" w:eastAsia="宋体" w:cs="宋体"/>
          <w:b/>
          <w:bCs/>
          <w:color w:val="000000"/>
          <w:kern w:val="0"/>
          <w:szCs w:val="21"/>
        </w:rPr>
        <w:t>期：</w:t>
      </w:r>
      <w:r>
        <w:rPr>
          <w:rFonts w:hint="eastAsia" w:ascii="宋体" w:hAnsi="宋体" w:eastAsia="宋体" w:cs="宋体"/>
          <w:b/>
          <w:bCs/>
          <w:color w:val="000000"/>
          <w:kern w:val="0"/>
          <w:szCs w:val="21"/>
        </w:rPr>
        <w:t xml:space="preserve"> </w:t>
      </w:r>
      <w:r>
        <w:rPr>
          <w:rFonts w:hint="eastAsia" w:ascii="宋体" w:hAnsi="宋体" w:cs="宋体"/>
          <w:b/>
          <w:bCs/>
          <w:kern w:val="0"/>
          <w:szCs w:val="21"/>
          <w:lang w:val="en-US" w:eastAsia="zh-CN"/>
        </w:rPr>
        <w:t>2021.10.23</w:t>
      </w:r>
    </w:p>
    <w:p>
      <w:pPr>
        <w:widowControl/>
        <w:spacing w:line="360" w:lineRule="auto"/>
        <w:rPr>
          <w:rFonts w:ascii="宋体" w:cs="宋体"/>
          <w:b/>
          <w:bCs/>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cs="宋体"/>
          <w:kern w:val="0"/>
          <w:szCs w:val="28"/>
        </w:rPr>
      </w:pP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49D6929"/>
    <w:rsid w:val="07A22038"/>
    <w:rsid w:val="07F6331D"/>
    <w:rsid w:val="081433FF"/>
    <w:rsid w:val="0866484A"/>
    <w:rsid w:val="08AF38B7"/>
    <w:rsid w:val="08C9577B"/>
    <w:rsid w:val="0CC1767E"/>
    <w:rsid w:val="0DE1402D"/>
    <w:rsid w:val="1051458B"/>
    <w:rsid w:val="10FC7F7C"/>
    <w:rsid w:val="145913C3"/>
    <w:rsid w:val="18895737"/>
    <w:rsid w:val="1ACA15A5"/>
    <w:rsid w:val="1D644926"/>
    <w:rsid w:val="20245D89"/>
    <w:rsid w:val="21C517C9"/>
    <w:rsid w:val="2253747B"/>
    <w:rsid w:val="228F589D"/>
    <w:rsid w:val="238D590A"/>
    <w:rsid w:val="23E3439E"/>
    <w:rsid w:val="259C7022"/>
    <w:rsid w:val="25FE255B"/>
    <w:rsid w:val="27816C16"/>
    <w:rsid w:val="27954974"/>
    <w:rsid w:val="299E6A98"/>
    <w:rsid w:val="2B030917"/>
    <w:rsid w:val="2C4F0E75"/>
    <w:rsid w:val="2E9535C2"/>
    <w:rsid w:val="2F3769D8"/>
    <w:rsid w:val="2F98679A"/>
    <w:rsid w:val="313D2294"/>
    <w:rsid w:val="31647056"/>
    <w:rsid w:val="321A44F5"/>
    <w:rsid w:val="32A1519D"/>
    <w:rsid w:val="356A4FB1"/>
    <w:rsid w:val="36BD22BD"/>
    <w:rsid w:val="3868400B"/>
    <w:rsid w:val="38880CD0"/>
    <w:rsid w:val="3F903830"/>
    <w:rsid w:val="408706D3"/>
    <w:rsid w:val="44C42B5F"/>
    <w:rsid w:val="49F92A91"/>
    <w:rsid w:val="4A126716"/>
    <w:rsid w:val="4ABD7835"/>
    <w:rsid w:val="4BD16FB0"/>
    <w:rsid w:val="505F1232"/>
    <w:rsid w:val="50FA73B2"/>
    <w:rsid w:val="52D06ACC"/>
    <w:rsid w:val="53FD699A"/>
    <w:rsid w:val="548C10AE"/>
    <w:rsid w:val="553819D4"/>
    <w:rsid w:val="55846126"/>
    <w:rsid w:val="56A52AE7"/>
    <w:rsid w:val="57961E25"/>
    <w:rsid w:val="57EE0A87"/>
    <w:rsid w:val="583773EE"/>
    <w:rsid w:val="58FA7A57"/>
    <w:rsid w:val="5AD7341B"/>
    <w:rsid w:val="5B4471AA"/>
    <w:rsid w:val="5BED2E50"/>
    <w:rsid w:val="5D8B40D4"/>
    <w:rsid w:val="5E541A14"/>
    <w:rsid w:val="60EE17B6"/>
    <w:rsid w:val="60FF6850"/>
    <w:rsid w:val="63244996"/>
    <w:rsid w:val="653A413B"/>
    <w:rsid w:val="65B354C1"/>
    <w:rsid w:val="66B707C5"/>
    <w:rsid w:val="66DA4EE7"/>
    <w:rsid w:val="678058D7"/>
    <w:rsid w:val="69443018"/>
    <w:rsid w:val="695375A4"/>
    <w:rsid w:val="69DD4616"/>
    <w:rsid w:val="6DB43658"/>
    <w:rsid w:val="6E4A2C41"/>
    <w:rsid w:val="6F03617D"/>
    <w:rsid w:val="6FCB3BEE"/>
    <w:rsid w:val="70F168D6"/>
    <w:rsid w:val="71A75E13"/>
    <w:rsid w:val="756C46F1"/>
    <w:rsid w:val="75C30245"/>
    <w:rsid w:val="79880B95"/>
    <w:rsid w:val="7E0A27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31</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2021-10-25T01:23:43Z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26855577654D4779AED556AE7C30A6C9</vt:lpwstr>
  </property>
</Properties>
</file>