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73mm的内衬油管壁厚测量过程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Q/SH1020 1889-2020《内衬油管通用技术条件》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测量范围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0-200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mm的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</w:p>
    <w:p>
      <w:pPr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3.7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Q/SH1020 1889-2020《内衬油管通用技术条件》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要求，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声波测厚仪</w:t>
      </w:r>
      <w:r>
        <w:rPr>
          <w:rFonts w:hint="eastAsia" w:cs="Times New Roman"/>
          <w:sz w:val="24"/>
          <w:szCs w:val="24"/>
          <w:lang w:val="en-US" w:eastAsia="zh-CN"/>
        </w:rPr>
        <w:t>调整零位，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199" w:leftChars="228" w:hanging="720" w:hangingChars="3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正常工作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sz w:val="24"/>
        </w:rPr>
        <w:t>状态下，同一组人，用同一</w:t>
      </w:r>
      <w:r>
        <w:rPr>
          <w:rFonts w:hint="eastAsia"/>
          <w:sz w:val="24"/>
          <w:lang w:val="en-US" w:eastAsia="zh-CN"/>
        </w:rPr>
        <w:t>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</w:tr>
    </w:tbl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41pt;width:130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6" o:spt="75" type="#_x0000_t75" style="height:47pt;width:17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16mm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检定</w:t>
      </w:r>
      <w:r>
        <w:rPr>
          <w:sz w:val="24"/>
        </w:rPr>
        <w:t>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</w:t>
      </w:r>
      <w:r>
        <w:rPr>
          <w:rFonts w:hint="eastAsia" w:cs="Times New Roman"/>
          <w:sz w:val="24"/>
          <w:szCs w:val="24"/>
          <w:lang w:val="en-US" w:eastAsia="zh-CN"/>
        </w:rPr>
        <w:t>出具</w:t>
      </w:r>
      <w:r>
        <w:rPr>
          <w:rFonts w:hint="default" w:ascii="Times New Roman" w:hAnsi="Times New Roman" w:eastAsia="宋体" w:cs="Times New Roman"/>
          <w:sz w:val="24"/>
          <w:szCs w:val="24"/>
        </w:rPr>
        <w:t>的最大允许误差±0.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28" o:spt="75" type="#_x0000_t75" style="height:33pt;width:15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0.029mm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type="#_x0000_t75" style="height:28pt;width:268.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33mm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066mm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066mm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  <w:lang w:val="en-US" w:eastAsia="zh-CN"/>
        </w:rPr>
        <w:t xml:space="preserve">                  </w:t>
      </w:r>
      <w:bookmarkStart w:id="1" w:name="_GoBack"/>
      <w:bookmarkEnd w:id="1"/>
      <w:r>
        <w:rPr>
          <w:rFonts w:hint="eastAsia"/>
          <w:kern w:val="0"/>
          <w:sz w:val="24"/>
          <w:lang w:val="en-US" w:eastAsia="zh-CN"/>
        </w:rPr>
        <w:t xml:space="preserve"> 评定人：李进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02BAC"/>
    <w:rsid w:val="00B72BDD"/>
    <w:rsid w:val="00D60E80"/>
    <w:rsid w:val="00F55B64"/>
    <w:rsid w:val="00F8595A"/>
    <w:rsid w:val="010A736B"/>
    <w:rsid w:val="023042D2"/>
    <w:rsid w:val="025B2178"/>
    <w:rsid w:val="029D4DA9"/>
    <w:rsid w:val="033C41AB"/>
    <w:rsid w:val="034B3636"/>
    <w:rsid w:val="035D0B50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0B1655"/>
    <w:rsid w:val="083D1EF3"/>
    <w:rsid w:val="08BA4BDC"/>
    <w:rsid w:val="097256B0"/>
    <w:rsid w:val="09A54FAD"/>
    <w:rsid w:val="0A01364A"/>
    <w:rsid w:val="0A9A5E74"/>
    <w:rsid w:val="0AFB3820"/>
    <w:rsid w:val="0B636E72"/>
    <w:rsid w:val="0BBA5591"/>
    <w:rsid w:val="0BC8647A"/>
    <w:rsid w:val="0BEF6E48"/>
    <w:rsid w:val="0C0F43DD"/>
    <w:rsid w:val="0C643619"/>
    <w:rsid w:val="0C8A62DD"/>
    <w:rsid w:val="0C9854E5"/>
    <w:rsid w:val="0CEB39B7"/>
    <w:rsid w:val="0D7E4CD6"/>
    <w:rsid w:val="0E2137A4"/>
    <w:rsid w:val="0E4966DE"/>
    <w:rsid w:val="0EBC1312"/>
    <w:rsid w:val="0EDE3AAF"/>
    <w:rsid w:val="0EEA7A88"/>
    <w:rsid w:val="0F114BB2"/>
    <w:rsid w:val="0F527410"/>
    <w:rsid w:val="0F7112BA"/>
    <w:rsid w:val="0FCA7E40"/>
    <w:rsid w:val="0FE408AD"/>
    <w:rsid w:val="103108B2"/>
    <w:rsid w:val="10C76CC6"/>
    <w:rsid w:val="11532CCE"/>
    <w:rsid w:val="11CF7804"/>
    <w:rsid w:val="11DD0A90"/>
    <w:rsid w:val="12302302"/>
    <w:rsid w:val="12EE3904"/>
    <w:rsid w:val="133D6FDD"/>
    <w:rsid w:val="13CB3EB9"/>
    <w:rsid w:val="13F84346"/>
    <w:rsid w:val="150669D4"/>
    <w:rsid w:val="1581369B"/>
    <w:rsid w:val="159C78BE"/>
    <w:rsid w:val="16250B6A"/>
    <w:rsid w:val="16B00322"/>
    <w:rsid w:val="16D8717C"/>
    <w:rsid w:val="17496B57"/>
    <w:rsid w:val="174D0E1E"/>
    <w:rsid w:val="17B53ED8"/>
    <w:rsid w:val="18175742"/>
    <w:rsid w:val="182D6F97"/>
    <w:rsid w:val="183E7280"/>
    <w:rsid w:val="188822E0"/>
    <w:rsid w:val="18C131D8"/>
    <w:rsid w:val="18D62037"/>
    <w:rsid w:val="19591AD2"/>
    <w:rsid w:val="19C13B76"/>
    <w:rsid w:val="19D73F00"/>
    <w:rsid w:val="1A296946"/>
    <w:rsid w:val="1AE93B6D"/>
    <w:rsid w:val="1B666E77"/>
    <w:rsid w:val="1B8F690F"/>
    <w:rsid w:val="1BDD231A"/>
    <w:rsid w:val="1C7543E3"/>
    <w:rsid w:val="1C87152C"/>
    <w:rsid w:val="1D5025AC"/>
    <w:rsid w:val="1D802F46"/>
    <w:rsid w:val="1DBB3739"/>
    <w:rsid w:val="1DFD6F64"/>
    <w:rsid w:val="1E36565E"/>
    <w:rsid w:val="1E9B3650"/>
    <w:rsid w:val="1EE261E0"/>
    <w:rsid w:val="1F096A17"/>
    <w:rsid w:val="1F89788F"/>
    <w:rsid w:val="1FCA46F2"/>
    <w:rsid w:val="1FEE3A39"/>
    <w:rsid w:val="203D3314"/>
    <w:rsid w:val="20B34A14"/>
    <w:rsid w:val="20C031FE"/>
    <w:rsid w:val="20E10399"/>
    <w:rsid w:val="218D212F"/>
    <w:rsid w:val="218E3152"/>
    <w:rsid w:val="21BF051E"/>
    <w:rsid w:val="22140A30"/>
    <w:rsid w:val="222055FF"/>
    <w:rsid w:val="228D64B0"/>
    <w:rsid w:val="23476973"/>
    <w:rsid w:val="24A54CC9"/>
    <w:rsid w:val="24DF290B"/>
    <w:rsid w:val="24F366E5"/>
    <w:rsid w:val="25061358"/>
    <w:rsid w:val="2562148E"/>
    <w:rsid w:val="259413AB"/>
    <w:rsid w:val="25E75F91"/>
    <w:rsid w:val="25F063BB"/>
    <w:rsid w:val="26633AB1"/>
    <w:rsid w:val="26966BFD"/>
    <w:rsid w:val="27725E1D"/>
    <w:rsid w:val="277E780C"/>
    <w:rsid w:val="27FD4E22"/>
    <w:rsid w:val="282C2BBB"/>
    <w:rsid w:val="2916416F"/>
    <w:rsid w:val="294A715B"/>
    <w:rsid w:val="295E52F6"/>
    <w:rsid w:val="29B83229"/>
    <w:rsid w:val="2A67176F"/>
    <w:rsid w:val="2AE46453"/>
    <w:rsid w:val="2B2513B8"/>
    <w:rsid w:val="2BE92441"/>
    <w:rsid w:val="2C20302A"/>
    <w:rsid w:val="2C6B1258"/>
    <w:rsid w:val="2C8F1234"/>
    <w:rsid w:val="2CF065CB"/>
    <w:rsid w:val="2D0D0AA6"/>
    <w:rsid w:val="2D5F4593"/>
    <w:rsid w:val="2E795D25"/>
    <w:rsid w:val="2EF20F47"/>
    <w:rsid w:val="2F1B0874"/>
    <w:rsid w:val="2FCB68DB"/>
    <w:rsid w:val="2FCD4F9F"/>
    <w:rsid w:val="2FD9603E"/>
    <w:rsid w:val="30205D58"/>
    <w:rsid w:val="304061F0"/>
    <w:rsid w:val="30614A16"/>
    <w:rsid w:val="31073D29"/>
    <w:rsid w:val="311D3D7A"/>
    <w:rsid w:val="31470891"/>
    <w:rsid w:val="314A69C0"/>
    <w:rsid w:val="314B5F65"/>
    <w:rsid w:val="32FD5AF2"/>
    <w:rsid w:val="330A1107"/>
    <w:rsid w:val="334D2152"/>
    <w:rsid w:val="337156F2"/>
    <w:rsid w:val="3504148B"/>
    <w:rsid w:val="350749A5"/>
    <w:rsid w:val="357C533D"/>
    <w:rsid w:val="358428F3"/>
    <w:rsid w:val="35D810C6"/>
    <w:rsid w:val="36184782"/>
    <w:rsid w:val="36AC74B4"/>
    <w:rsid w:val="36FA4110"/>
    <w:rsid w:val="37145252"/>
    <w:rsid w:val="37A94C31"/>
    <w:rsid w:val="37CA5A2B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CBB7D10"/>
    <w:rsid w:val="3D241BC2"/>
    <w:rsid w:val="3DD37D96"/>
    <w:rsid w:val="3DD6698E"/>
    <w:rsid w:val="3DED5548"/>
    <w:rsid w:val="3E782D86"/>
    <w:rsid w:val="3E993A95"/>
    <w:rsid w:val="3F237362"/>
    <w:rsid w:val="3F6A1D37"/>
    <w:rsid w:val="3F7A7526"/>
    <w:rsid w:val="3FC3021C"/>
    <w:rsid w:val="3FC86FAA"/>
    <w:rsid w:val="3FF9022C"/>
    <w:rsid w:val="400E35D0"/>
    <w:rsid w:val="406B6E3D"/>
    <w:rsid w:val="409F2474"/>
    <w:rsid w:val="40A6530A"/>
    <w:rsid w:val="40B76927"/>
    <w:rsid w:val="411A4193"/>
    <w:rsid w:val="4133108B"/>
    <w:rsid w:val="4164563D"/>
    <w:rsid w:val="41D427CA"/>
    <w:rsid w:val="422A249F"/>
    <w:rsid w:val="42CF2139"/>
    <w:rsid w:val="44556987"/>
    <w:rsid w:val="446941AE"/>
    <w:rsid w:val="459221A5"/>
    <w:rsid w:val="45C32C68"/>
    <w:rsid w:val="45FE3658"/>
    <w:rsid w:val="462C7D91"/>
    <w:rsid w:val="46AA69D8"/>
    <w:rsid w:val="471F3D34"/>
    <w:rsid w:val="47674205"/>
    <w:rsid w:val="47791AF4"/>
    <w:rsid w:val="478F6633"/>
    <w:rsid w:val="47D25AD0"/>
    <w:rsid w:val="47ED318E"/>
    <w:rsid w:val="49680B69"/>
    <w:rsid w:val="49780256"/>
    <w:rsid w:val="49823687"/>
    <w:rsid w:val="499A7F67"/>
    <w:rsid w:val="4A937AD6"/>
    <w:rsid w:val="4B621763"/>
    <w:rsid w:val="4B816FEB"/>
    <w:rsid w:val="4C417E74"/>
    <w:rsid w:val="4CDA33F9"/>
    <w:rsid w:val="4D6F48AB"/>
    <w:rsid w:val="4D7168CF"/>
    <w:rsid w:val="4DE07EE4"/>
    <w:rsid w:val="4E0D48FC"/>
    <w:rsid w:val="4ECD29D3"/>
    <w:rsid w:val="4F12707E"/>
    <w:rsid w:val="4F3A6AED"/>
    <w:rsid w:val="4FAC6517"/>
    <w:rsid w:val="4FB91FF7"/>
    <w:rsid w:val="50E12BEE"/>
    <w:rsid w:val="51414F9F"/>
    <w:rsid w:val="515459DF"/>
    <w:rsid w:val="51D71733"/>
    <w:rsid w:val="523941F5"/>
    <w:rsid w:val="526747A8"/>
    <w:rsid w:val="52867B76"/>
    <w:rsid w:val="52C85610"/>
    <w:rsid w:val="53134561"/>
    <w:rsid w:val="53366C8C"/>
    <w:rsid w:val="53A5191D"/>
    <w:rsid w:val="53C37B18"/>
    <w:rsid w:val="544F0BA0"/>
    <w:rsid w:val="54C70AB1"/>
    <w:rsid w:val="55401B42"/>
    <w:rsid w:val="55A609DA"/>
    <w:rsid w:val="55DA0BFC"/>
    <w:rsid w:val="564869D4"/>
    <w:rsid w:val="57CC2099"/>
    <w:rsid w:val="57DB4742"/>
    <w:rsid w:val="580F06C7"/>
    <w:rsid w:val="583925E6"/>
    <w:rsid w:val="58785586"/>
    <w:rsid w:val="599C6729"/>
    <w:rsid w:val="5A496318"/>
    <w:rsid w:val="5A7E0318"/>
    <w:rsid w:val="5A913F37"/>
    <w:rsid w:val="5AD6230E"/>
    <w:rsid w:val="5B377B63"/>
    <w:rsid w:val="5B400359"/>
    <w:rsid w:val="5B460708"/>
    <w:rsid w:val="5B8A72BE"/>
    <w:rsid w:val="5C055090"/>
    <w:rsid w:val="5C224FB1"/>
    <w:rsid w:val="5C5A7EC3"/>
    <w:rsid w:val="5D2E7599"/>
    <w:rsid w:val="5D326DCF"/>
    <w:rsid w:val="5D5868D6"/>
    <w:rsid w:val="5DE82CD2"/>
    <w:rsid w:val="5DF135EF"/>
    <w:rsid w:val="5E6C67F7"/>
    <w:rsid w:val="5EF6355E"/>
    <w:rsid w:val="5EFD54A6"/>
    <w:rsid w:val="5F3B1623"/>
    <w:rsid w:val="5FBA6C7D"/>
    <w:rsid w:val="6001421E"/>
    <w:rsid w:val="602A602F"/>
    <w:rsid w:val="60587A6D"/>
    <w:rsid w:val="607330F0"/>
    <w:rsid w:val="61526862"/>
    <w:rsid w:val="616F01F2"/>
    <w:rsid w:val="61700F6B"/>
    <w:rsid w:val="622A38DD"/>
    <w:rsid w:val="63095931"/>
    <w:rsid w:val="63D71692"/>
    <w:rsid w:val="643D1C4F"/>
    <w:rsid w:val="646E3F5F"/>
    <w:rsid w:val="64705963"/>
    <w:rsid w:val="64AE1D7F"/>
    <w:rsid w:val="64B51A35"/>
    <w:rsid w:val="64BA1BD0"/>
    <w:rsid w:val="64D60F50"/>
    <w:rsid w:val="65A655F9"/>
    <w:rsid w:val="66CD209A"/>
    <w:rsid w:val="6726694F"/>
    <w:rsid w:val="67B5344E"/>
    <w:rsid w:val="67C148F9"/>
    <w:rsid w:val="680B27C6"/>
    <w:rsid w:val="68401EF1"/>
    <w:rsid w:val="694D6FD8"/>
    <w:rsid w:val="69680C14"/>
    <w:rsid w:val="6A764632"/>
    <w:rsid w:val="6A825E94"/>
    <w:rsid w:val="6A9F5AE2"/>
    <w:rsid w:val="6AFE517E"/>
    <w:rsid w:val="6B612103"/>
    <w:rsid w:val="6B644494"/>
    <w:rsid w:val="6B800240"/>
    <w:rsid w:val="6BDF3589"/>
    <w:rsid w:val="6C6F59D5"/>
    <w:rsid w:val="6CA71AE5"/>
    <w:rsid w:val="6CC57F26"/>
    <w:rsid w:val="6D0D4B22"/>
    <w:rsid w:val="6D123CBC"/>
    <w:rsid w:val="6D1A7968"/>
    <w:rsid w:val="6D5C203B"/>
    <w:rsid w:val="6D991565"/>
    <w:rsid w:val="6DE46726"/>
    <w:rsid w:val="6E951F96"/>
    <w:rsid w:val="6E9F7006"/>
    <w:rsid w:val="6EDB5231"/>
    <w:rsid w:val="6EF52455"/>
    <w:rsid w:val="6F537C6C"/>
    <w:rsid w:val="6FA94B24"/>
    <w:rsid w:val="6FB62861"/>
    <w:rsid w:val="6FD67AC7"/>
    <w:rsid w:val="6FFE5DD2"/>
    <w:rsid w:val="701C3CFA"/>
    <w:rsid w:val="70B265C9"/>
    <w:rsid w:val="70E96CB3"/>
    <w:rsid w:val="71371EE8"/>
    <w:rsid w:val="71B307BD"/>
    <w:rsid w:val="7290624B"/>
    <w:rsid w:val="735B5667"/>
    <w:rsid w:val="73DC7AD3"/>
    <w:rsid w:val="74012103"/>
    <w:rsid w:val="74730104"/>
    <w:rsid w:val="74CB7CC8"/>
    <w:rsid w:val="78B140C7"/>
    <w:rsid w:val="78EB596B"/>
    <w:rsid w:val="790F726B"/>
    <w:rsid w:val="79E77920"/>
    <w:rsid w:val="7A1D2EB5"/>
    <w:rsid w:val="7A480860"/>
    <w:rsid w:val="7A56499B"/>
    <w:rsid w:val="7A7F2C28"/>
    <w:rsid w:val="7BD03CF2"/>
    <w:rsid w:val="7BD31725"/>
    <w:rsid w:val="7BE94368"/>
    <w:rsid w:val="7C1201F8"/>
    <w:rsid w:val="7C5425D0"/>
    <w:rsid w:val="7C9E5950"/>
    <w:rsid w:val="7D4465FC"/>
    <w:rsid w:val="7D9F4569"/>
    <w:rsid w:val="7DFE2F48"/>
    <w:rsid w:val="7E0A0ED8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9</TotalTime>
  <ScaleCrop>false</ScaleCrop>
  <LinksUpToDate>false</LinksUpToDate>
  <CharactersWithSpaces>1240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乐言</cp:lastModifiedBy>
  <dcterms:modified xsi:type="dcterms:W3CDTF">2021-10-23T01:54:58Z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167CB3CF32F046A0ADB35B9CC1EBA4E6</vt:lpwstr>
  </property>
</Properties>
</file>