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1061-2021-EnMs</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安徽银通物业管理有限公司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2021年10月20日 上午至2021年10月21日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6"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 23331-202</w:t>
            </w:r>
            <w:r>
              <w:rPr>
                <w:rFonts w:hint="eastAsia" w:ascii="宋体" w:hAnsi="宋体"/>
                <w:b/>
                <w:color w:val="000000"/>
                <w:szCs w:val="21"/>
                <w:lang w:val="en-US" w:eastAsia="zh-CN"/>
              </w:rPr>
              <w:t>0</w:t>
            </w:r>
            <w:r>
              <w:rPr>
                <w:rFonts w:hint="eastAsia" w:ascii="宋体" w:hAnsi="宋体"/>
                <w:b/>
                <w:color w:val="000000"/>
                <w:szCs w:val="21"/>
                <w:lang w:val="de-DE"/>
              </w:rPr>
              <w:t xml:space="preserve"> </w:t>
            </w:r>
          </w:p>
          <w:p>
            <w:pPr>
              <w:rPr>
                <w:rFonts w:ascii="宋体" w:hAnsi="宋体"/>
                <w:b/>
                <w:color w:val="000000"/>
                <w:szCs w:val="21"/>
                <w:lang w:val="de-DE"/>
              </w:rPr>
            </w:pPr>
            <w:bookmarkStart w:id="34" w:name="_GoBack"/>
            <w:bookmarkEnd w:id="34"/>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rFonts w:hint="default" w:eastAsia="宋体"/>
                <w:szCs w:val="21"/>
                <w:lang w:val="en-US" w:eastAsia="zh-CN"/>
              </w:rPr>
            </w:pPr>
            <w:r>
              <w:rPr>
                <w:rFonts w:hint="eastAsia"/>
                <w:szCs w:val="21"/>
                <w:lang w:val="en-US" w:eastAsia="zh-CN"/>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2021-N1EnMS-2072033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rFonts w:hint="eastAsia" w:eastAsia="宋体"/>
                <w:szCs w:val="21"/>
                <w:lang w:val="en-US" w:eastAsia="zh-CN"/>
              </w:rPr>
            </w:pPr>
            <w:r>
              <w:rPr>
                <w:rFonts w:hint="eastAsia"/>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李毅</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ISC-JSZJ-399</w:t>
            </w:r>
          </w:p>
          <w:p>
            <w:pPr>
              <w:spacing w:line="240" w:lineRule="exact"/>
              <w:jc w:val="center"/>
              <w:rPr>
                <w:b/>
                <w:color w:val="000000"/>
                <w:szCs w:val="21"/>
              </w:rPr>
            </w:pPr>
            <w:r>
              <w:rPr>
                <w:b/>
                <w:color w:val="000000"/>
                <w:szCs w:val="21"/>
              </w:rPr>
              <w:t>合肥市瑶海区龙兴苑综合楼</w:t>
            </w:r>
          </w:p>
        </w:tc>
        <w:tc>
          <w:tcPr>
            <w:tcW w:w="1140" w:type="dxa"/>
            <w:vAlign w:val="center"/>
          </w:tcPr>
          <w:p>
            <w:pPr>
              <w:spacing w:line="240" w:lineRule="exact"/>
              <w:jc w:val="center"/>
              <w:rPr>
                <w:b/>
                <w:color w:val="000000"/>
                <w:szCs w:val="21"/>
              </w:rPr>
            </w:pPr>
            <w:r>
              <w:rPr>
                <w:b/>
                <w:color w:val="000000"/>
                <w:szCs w:val="21"/>
              </w:rPr>
              <w:t>2.10</w:t>
            </w:r>
          </w:p>
        </w:tc>
        <w:tc>
          <w:tcPr>
            <w:tcW w:w="1088" w:type="dxa"/>
            <w:vAlign w:val="center"/>
          </w:tcPr>
          <w:p>
            <w:pPr>
              <w:spacing w:line="240" w:lineRule="exact"/>
              <w:jc w:val="center"/>
              <w:rPr>
                <w:rFonts w:hint="eastAsia" w:eastAsia="宋体"/>
                <w:szCs w:val="21"/>
                <w:lang w:val="en-US" w:eastAsia="zh-CN"/>
              </w:rPr>
            </w:pPr>
            <w:r>
              <w:rPr>
                <w:rFonts w:hint="eastAsia"/>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spacing w:line="240" w:lineRule="exact"/>
              <w:jc w:val="center"/>
              <w:rPr>
                <w:b/>
                <w:color w:val="000000"/>
                <w:szCs w:val="21"/>
              </w:rPr>
            </w:pPr>
            <w:r>
              <w:rPr>
                <w:b/>
                <w:color w:val="000000"/>
                <w:szCs w:val="21"/>
              </w:rPr>
              <w:t>李毅</w:t>
            </w:r>
          </w:p>
        </w:tc>
        <w:tc>
          <w:tcPr>
            <w:tcW w:w="1089" w:type="dxa"/>
            <w:vAlign w:val="center"/>
          </w:tcPr>
          <w:p>
            <w:pPr>
              <w:rPr>
                <w:rFonts w:hint="eastAsia" w:eastAsia="宋体"/>
                <w:b/>
                <w:color w:val="000000"/>
                <w:szCs w:val="21"/>
                <w:lang w:val="en-US" w:eastAsia="zh-CN"/>
              </w:rPr>
            </w:pPr>
            <w:r>
              <w:rPr>
                <w:rFonts w:hint="eastAsia"/>
                <w:b/>
                <w:color w:val="000000"/>
                <w:szCs w:val="21"/>
                <w:lang w:val="en-US" w:eastAsia="zh-CN"/>
              </w:rPr>
              <w:t>专家</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ISC-JSZJ-399</w:t>
            </w:r>
          </w:p>
          <w:p>
            <w:pPr>
              <w:rPr>
                <w:b/>
                <w:color w:val="000000"/>
                <w:szCs w:val="21"/>
              </w:rPr>
            </w:pPr>
            <w:r>
              <w:rPr>
                <w:b/>
                <w:color w:val="000000"/>
                <w:szCs w:val="21"/>
              </w:rPr>
              <w:t>合肥市瑶海区龙兴苑综合楼</w:t>
            </w:r>
          </w:p>
        </w:tc>
        <w:tc>
          <w:tcPr>
            <w:tcW w:w="2228" w:type="dxa"/>
            <w:gridSpan w:val="2"/>
            <w:vAlign w:val="center"/>
          </w:tcPr>
          <w:p>
            <w:pPr>
              <w:rPr>
                <w:rFonts w:hint="eastAsia" w:eastAsia="宋体"/>
                <w:b/>
                <w:color w:val="000000"/>
                <w:szCs w:val="21"/>
                <w:lang w:val="en-US" w:eastAsia="zh-CN"/>
              </w:rPr>
            </w:pPr>
            <w:r>
              <w:rPr>
                <w:rFonts w:hint="eastAsia"/>
                <w:b/>
                <w:color w:val="000000"/>
                <w:szCs w:val="21"/>
                <w:lang w:val="en-US" w:eastAsia="zh-CN"/>
              </w:rPr>
              <w:t>工程师</w:t>
            </w: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安徽银通物业管理有限公司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安徽省合肥市长江中路130号</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230001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安徽省合肥市蜀山区繁华大道紫御府小区5号楼2楼</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230022</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刘一帆</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15255190152</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周名奎</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ind w:firstLine="632" w:firstLineChars="300"/>
              <w:rPr>
                <w:rFonts w:ascii="宋体"/>
                <w:b/>
                <w:color w:val="000000"/>
                <w:szCs w:val="21"/>
              </w:rPr>
            </w:pPr>
            <w:bookmarkStart w:id="31" w:name="管理者代表"/>
            <w:r>
              <w:rPr>
                <w:rFonts w:ascii="宋体"/>
                <w:b/>
                <w:color w:val="000000"/>
                <w:szCs w:val="21"/>
              </w:rPr>
              <w:t>王月兰</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物业服务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napToGrid w:val="0"/>
              <w:spacing w:line="420" w:lineRule="exact"/>
              <w:jc w:val="left"/>
              <w:rPr>
                <w:rFonts w:hint="eastAsia" w:ascii="宋体" w:hAnsi="宋体" w:cs="宋体"/>
                <w:szCs w:val="21"/>
                <w:lang w:eastAsia="zh-CN"/>
              </w:rPr>
            </w:pPr>
            <w:r>
              <w:rPr>
                <w:rFonts w:hint="eastAsia" w:ascii="宋体" w:hAnsi="宋体" w:cs="宋体"/>
                <w:szCs w:val="21"/>
                <w:lang w:val="en-US" w:eastAsia="zh-CN"/>
              </w:rPr>
              <w:t>物业操作</w:t>
            </w:r>
            <w:r>
              <w:rPr>
                <w:rFonts w:hint="eastAsia" w:ascii="宋体" w:hAnsi="宋体" w:cs="宋体"/>
                <w:szCs w:val="21"/>
              </w:rPr>
              <w:t>流程</w:t>
            </w:r>
            <w:r>
              <w:rPr>
                <w:rFonts w:hint="eastAsia" w:ascii="宋体" w:hAnsi="宋体" w:cs="宋体"/>
                <w:szCs w:val="21"/>
                <w:lang w:eastAsia="zh-CN"/>
              </w:rPr>
              <w:t>；</w:t>
            </w:r>
          </w:p>
          <w:p>
            <w:pPr>
              <w:spacing w:line="360" w:lineRule="exact"/>
              <w:rPr>
                <w:rFonts w:hint="eastAsia" w:ascii="宋体" w:hAnsi="宋体" w:eastAsia="宋体"/>
                <w:sz w:val="21"/>
                <w:szCs w:val="21"/>
              </w:rPr>
            </w:pPr>
            <w:r>
              <w:rPr>
                <w:sz w:val="21"/>
              </w:rPr>
              <w:pict>
                <v:shape id="_x0000_s2050" o:spid="_x0000_s2050" o:spt="32" type="#_x0000_t32" style="position:absolute;left:0pt;margin-left:305.9pt;margin-top:9.55pt;height:0.05pt;width:10.4pt;z-index:251665408;mso-width-relative:page;mso-height-relative:page;" filled="f" stroked="t" coordsize="21600,21600">
                  <v:path arrowok="t"/>
                  <v:fill on="f" focussize="0,0"/>
                  <v:stroke endarrow="block"/>
                  <v:imagedata o:title=""/>
                  <o:lock v:ext="edit" aspectratio="f"/>
                </v:shape>
              </w:pict>
            </w:r>
            <w:r>
              <w:rPr>
                <w:sz w:val="21"/>
              </w:rPr>
              <w:pict>
                <v:shape id="_x0000_s2051" o:spid="_x0000_s2051" o:spt="32" type="#_x0000_t32" style="position:absolute;left:0pt;margin-left:213.65pt;margin-top:10.35pt;height:0.05pt;width:10.4pt;z-index:251664384;mso-width-relative:page;mso-height-relative:page;" filled="f" stroked="t" coordsize="21600,21600">
                  <v:path arrowok="t"/>
                  <v:fill on="f" focussize="0,0"/>
                  <v:stroke endarrow="block"/>
                  <v:imagedata o:title=""/>
                  <o:lock v:ext="edit" aspectratio="f"/>
                </v:shape>
              </w:pict>
            </w:r>
            <w:r>
              <w:rPr>
                <w:sz w:val="21"/>
              </w:rPr>
              <w:pict>
                <v:shape id="_x0000_s2052" o:spid="_x0000_s2052" o:spt="32" type="#_x0000_t32" style="position:absolute;left:0pt;margin-left:133.65pt;margin-top:10.15pt;height:0.05pt;width:10.4pt;z-index:251666432;mso-width-relative:page;mso-height-relative:page;" filled="f" stroked="t" coordsize="21600,21600">
                  <v:path arrowok="t"/>
                  <v:fill on="f" focussize="0,0"/>
                  <v:stroke endarrow="block"/>
                  <v:imagedata o:title=""/>
                  <o:lock v:ext="edit" aspectratio="f"/>
                </v:shape>
              </w:pict>
            </w:r>
            <w:r>
              <w:rPr>
                <w:sz w:val="21"/>
              </w:rPr>
              <w:pict>
                <v:shape id="_x0000_s2053" o:spid="_x0000_s2053" o:spt="32" type="#_x0000_t32" style="position:absolute;left:0pt;margin-left:53.8pt;margin-top:10.55pt;height:0.05pt;width:10.4pt;z-index:251663360;mso-width-relative:page;mso-height-relative:page;" filled="f" stroked="t" coordsize="21600,21600">
                  <v:path arrowok="t"/>
                  <v:fill on="f" focussize="0,0"/>
                  <v:stroke endarrow="block"/>
                  <v:imagedata o:title=""/>
                  <o:lock v:ext="edit" aspectratio="f"/>
                </v:shape>
              </w:pict>
            </w:r>
            <w:r>
              <w:rPr>
                <w:rFonts w:hint="eastAsia" w:ascii="宋体" w:hAnsi="宋体" w:eastAsia="宋体"/>
                <w:sz w:val="21"/>
                <w:szCs w:val="21"/>
              </w:rPr>
              <w:t>成立管理处   日常管理服务   绿化、安保</w:t>
            </w:r>
            <w:r>
              <w:rPr>
                <w:rFonts w:hint="eastAsia" w:ascii="宋体" w:hAnsi="宋体" w:eastAsia="宋体"/>
                <w:sz w:val="21"/>
                <w:szCs w:val="21"/>
                <w:lang w:val="en-US" w:eastAsia="zh-CN"/>
              </w:rPr>
              <w:t>等</w:t>
            </w:r>
            <w:r>
              <w:rPr>
                <w:rFonts w:hint="eastAsia" w:ascii="宋体" w:hAnsi="宋体" w:eastAsia="宋体"/>
                <w:sz w:val="21"/>
                <w:szCs w:val="21"/>
              </w:rPr>
              <w:t xml:space="preserve">   应急准备与相应   </w:t>
            </w:r>
          </w:p>
          <w:p>
            <w:pPr>
              <w:snapToGrid w:val="0"/>
              <w:spacing w:line="420" w:lineRule="exact"/>
              <w:jc w:val="left"/>
              <w:rPr>
                <w:rFonts w:ascii="宋体"/>
                <w:color w:val="000000"/>
                <w:szCs w:val="21"/>
              </w:rPr>
            </w:pPr>
            <w:r>
              <w:rPr>
                <w:rFonts w:hint="eastAsia" w:ascii="宋体" w:hAnsi="宋体" w:eastAsia="宋体"/>
                <w:sz w:val="21"/>
                <w:szCs w:val="21"/>
              </w:rPr>
              <w:t>服务质量评定</w:t>
            </w:r>
            <w:r>
              <w:rPr>
                <w:rFonts w:hint="eastAsia" w:ascii="宋体" w:hAnsi="宋体" w:eastAsia="宋体"/>
                <w:sz w:val="21"/>
                <w:szCs w:val="21"/>
                <w:lang w:eastAsia="zh-CN"/>
              </w:rPr>
              <w:t>、</w:t>
            </w:r>
            <w:r>
              <w:rPr>
                <w:rFonts w:hint="eastAsia" w:ascii="宋体" w:hAnsi="宋体" w:eastAsia="宋体"/>
                <w:sz w:val="21"/>
                <w:szCs w:val="21"/>
              </w:rPr>
              <w:t>服务质量改进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2" w:name="审核范围"/>
            <w:r>
              <w:t>物业服务范围内的保安、保洁、维修、绿化、办公的能源管理活动</w:t>
            </w:r>
            <w:bookmarkEnd w:id="32"/>
          </w:p>
        </w:tc>
        <w:tc>
          <w:tcPr>
            <w:tcW w:w="2006" w:type="dxa"/>
            <w:gridSpan w:val="3"/>
            <w:vAlign w:val="center"/>
          </w:tcPr>
          <w:p>
            <w:pPr>
              <w:spacing w:line="400" w:lineRule="exact"/>
              <w:rPr>
                <w:rFonts w:ascii="宋体" w:hAnsi="宋体"/>
                <w:b/>
                <w:color w:val="000000"/>
                <w:szCs w:val="21"/>
              </w:rPr>
            </w:pPr>
            <w:r>
              <w:rPr>
                <w:b/>
                <w:color w:val="000000"/>
                <w:szCs w:val="21"/>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ascii="宋体"/>
                <w:b w:val="0"/>
                <w:bCs/>
                <w:color w:val="000000"/>
                <w:szCs w:val="21"/>
              </w:rPr>
              <w:t>安徽银通物业管理有限公司</w:t>
            </w:r>
            <w:r>
              <w:rPr>
                <w:rFonts w:hint="eastAsia" w:ascii="宋体"/>
                <w:b w:val="0"/>
                <w:bCs/>
                <w:color w:val="000000"/>
                <w:szCs w:val="21"/>
                <w:lang w:val="en-US" w:eastAsia="zh-CN"/>
              </w:rPr>
              <w:t>/</w:t>
            </w:r>
            <w:r>
              <w:rPr>
                <w:rFonts w:ascii="宋体"/>
                <w:b w:val="0"/>
                <w:bCs/>
                <w:color w:val="000000"/>
                <w:szCs w:val="21"/>
              </w:rPr>
              <w:t>安徽省合肥市长江中路130号</w:t>
            </w:r>
          </w:p>
        </w:tc>
        <w:tc>
          <w:tcPr>
            <w:tcW w:w="2267" w:type="dxa"/>
          </w:tcPr>
          <w:p>
            <w:pPr>
              <w:spacing w:before="40" w:after="40"/>
              <w:rPr>
                <w:rFonts w:eastAsia="黑体"/>
                <w:szCs w:val="21"/>
                <w:lang w:val="de-DE" w:eastAsia="ja-JP"/>
              </w:rPr>
            </w:pPr>
            <w:r>
              <w:rPr>
                <w:rFonts w:ascii="宋体"/>
                <w:b w:val="0"/>
                <w:bCs/>
                <w:color w:val="000000"/>
                <w:szCs w:val="21"/>
              </w:rPr>
              <w:t>安徽省合肥市蜀山区繁华大道紫御府小区5号楼2楼</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36</w:t>
            </w:r>
          </w:p>
        </w:tc>
        <w:tc>
          <w:tcPr>
            <w:tcW w:w="2803" w:type="dxa"/>
            <w:vAlign w:val="center"/>
          </w:tcPr>
          <w:p>
            <w:pPr>
              <w:pStyle w:val="19"/>
              <w:rPr>
                <w:rFonts w:eastAsia="黑体" w:cs="Arial"/>
                <w:sz w:val="21"/>
                <w:szCs w:val="21"/>
                <w:lang w:val="en-US" w:eastAsia="ja-JP"/>
              </w:rPr>
            </w:pPr>
            <w:r>
              <w:t>物业服务范围内的保安、保洁、维修、绿化、办公的能源管理活动</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GBT23331-2020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16-17</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年8月3日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rPr>
              <w:t>2021-10-2</w:t>
            </w:r>
            <w:bookmarkEnd w:id="33"/>
            <w:r>
              <w:rPr>
                <w:rFonts w:hint="eastAsia" w:ascii="宋体"/>
                <w:b/>
                <w:color w:val="000000"/>
                <w:szCs w:val="21"/>
                <w:lang w:val="en-US" w:eastAsia="zh-CN"/>
              </w:rPr>
              <w:t>2~25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1312" behindDoc="1" locked="0" layoutInCell="1" allowOverlap="1">
            <wp:simplePos x="0" y="0"/>
            <wp:positionH relativeFrom="column">
              <wp:posOffset>1821180</wp:posOffset>
            </wp:positionH>
            <wp:positionV relativeFrom="paragraph">
              <wp:posOffset>313690</wp:posOffset>
            </wp:positionV>
            <wp:extent cx="722630" cy="504190"/>
            <wp:effectExtent l="0" t="0" r="1270" b="3810"/>
            <wp:wrapTight wrapText="bothSides">
              <wp:wrapPolygon>
                <wp:start x="0" y="0"/>
                <wp:lineTo x="0" y="21219"/>
                <wp:lineTo x="21258" y="21219"/>
                <wp:lineTo x="21258"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lum contrast="84000"/>
                    </a:blip>
                    <a:stretch>
                      <a:fillRect/>
                    </a:stretch>
                  </pic:blipFill>
                  <pic:spPr>
                    <a:xfrm>
                      <a:off x="2712720" y="4217035"/>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ascii="宋体" w:hAnsi="宋体"/>
          <w:b/>
          <w:bCs/>
          <w:color w:val="000000"/>
          <w:szCs w:val="21"/>
        </w:rPr>
        <w:t>十一、审核组签字</w:t>
      </w:r>
    </w:p>
    <w:p>
      <w:pPr>
        <w:spacing w:line="400" w:lineRule="exact"/>
        <w:ind w:firstLine="960" w:firstLineChars="400"/>
        <w:rPr>
          <w:rFonts w:ascii="宋体"/>
          <w:b/>
          <w:color w:val="000000"/>
          <w:szCs w:val="21"/>
        </w:rPr>
      </w:pPr>
      <w:r>
        <w:rPr>
          <w:rFonts w:hint="eastAsia" w:ascii="宋体" w:hAnsi="宋体" w:eastAsia="宋体"/>
          <w:sz w:val="24"/>
          <w:szCs w:val="24"/>
          <w:lang w:eastAsia="zh-CN"/>
        </w:rPr>
        <w:drawing>
          <wp:anchor distT="0" distB="0" distL="114300" distR="114300" simplePos="0" relativeHeight="251662336" behindDoc="0" locked="0" layoutInCell="1" allowOverlap="1">
            <wp:simplePos x="0" y="0"/>
            <wp:positionH relativeFrom="column">
              <wp:posOffset>3930650</wp:posOffset>
            </wp:positionH>
            <wp:positionV relativeFrom="paragraph">
              <wp:posOffset>42545</wp:posOffset>
            </wp:positionV>
            <wp:extent cx="651510" cy="405130"/>
            <wp:effectExtent l="0" t="0" r="8890" b="1270"/>
            <wp:wrapSquare wrapText="bothSides"/>
            <wp:docPr id="1" name="图片 1" descr="微信图片_2021102009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020092838"/>
                    <pic:cNvPicPr>
                      <a:picLocks noChangeAspect="1"/>
                    </pic:cNvPicPr>
                  </pic:nvPicPr>
                  <pic:blipFill>
                    <a:blip r:embed="rId7"/>
                    <a:stretch>
                      <a:fillRect/>
                    </a:stretch>
                  </pic:blipFill>
                  <pic:spPr>
                    <a:xfrm>
                      <a:off x="0" y="0"/>
                      <a:ext cx="651510" cy="40513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2021.10.21</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3073" o:spid="_x0000_s3073"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C065C64"/>
    <w:rsid w:val="6B941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 id="V:Rule3" type="connector" idref="#_x0000_s2052"/>
        <o:r id="V:Rule4"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1</TotalTime>
  <ScaleCrop>false</ScaleCrop>
  <LinksUpToDate>false</LinksUpToDate>
  <CharactersWithSpaces>9455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2021-10-27T05:14:17Z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2052-11.1.0.10667</vt:lpwstr>
  </property>
</Properties>
</file>