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0010-2021-EO-2021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华润雪花啤酒（四川）有限责任公司新都分公司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杨珍全</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E:ISC-E-2021-0875,O:ISC-O-2021-0805</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91510100MA63GUGW3E</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E:260,O:260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华润雪花啤酒（四川）有限责任公司新都分公司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E：雪花啤酒的生产（限许可范围内）所涉及场所的相关环境管理活动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O：雪花啤酒的生产（限许可范围内）所涉及场所的相关职业健康安全管理活动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四川省成都市新都工业东区星光路108号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四川省成都市新都工业东区星光路108号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华润雪花啤酒（四川）有限责任公司新都分公司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E:ISC-E-2021-0875,O:ISC-O-2021-0805</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四川省成都市新都工业东区星光路108号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