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0534-2019-EO-2021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华润雪花啤酒（四川）有限责任公司绵阳分公司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华润雪花啤酒（四川）有限责任公司绵阳分公司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绵阳市长虹大道南段242号</w:t>
            </w:r>
            <w:bookmarkEnd w:id="6"/>
          </w:p>
        </w:tc>
        <w:tc>
          <w:tcPr>
            <w:tcW w:w="1242" w:type="dxa"/>
            <w:vMerge w:val="restart"/>
            <w:vAlign w:val="center"/>
          </w:tcPr>
          <w:p>
            <w:r>
              <w:rPr>
                <w:rFonts w:hint="eastAsia"/>
              </w:rPr>
              <w:t>邮编</w:t>
            </w:r>
          </w:p>
        </w:tc>
        <w:tc>
          <w:tcPr>
            <w:tcW w:w="1771" w:type="dxa"/>
          </w:tcPr>
          <w:p>
            <w:bookmarkStart w:id="7" w:name="注册邮编"/>
            <w:r>
              <w:t>610500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绵阳市长虹大道南段242号</w:t>
            </w:r>
            <w:bookmarkEnd w:id="8"/>
          </w:p>
        </w:tc>
        <w:tc>
          <w:tcPr>
            <w:tcW w:w="1242" w:type="dxa"/>
            <w:vMerge w:val="continue"/>
            <w:vAlign w:val="center"/>
          </w:tcPr>
          <w:p/>
        </w:tc>
        <w:tc>
          <w:tcPr>
            <w:tcW w:w="1771" w:type="dxa"/>
          </w:tcPr>
          <w:p>
            <w:bookmarkStart w:id="9" w:name="办公邮编"/>
            <w:r>
              <w:t>610500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张平</w:t>
            </w:r>
            <w:bookmarkEnd w:id="10"/>
          </w:p>
        </w:tc>
        <w:tc>
          <w:tcPr>
            <w:tcW w:w="1313" w:type="dxa"/>
            <w:vAlign w:val="center"/>
          </w:tcPr>
          <w:p>
            <w:r>
              <w:rPr>
                <w:rFonts w:hint="eastAsia"/>
              </w:rPr>
              <w:t>电话.</w:t>
            </w:r>
          </w:p>
        </w:tc>
        <w:tc>
          <w:tcPr>
            <w:tcW w:w="2180" w:type="dxa"/>
            <w:vAlign w:val="center"/>
          </w:tcPr>
          <w:p>
            <w:bookmarkStart w:id="11" w:name="联系人电话"/>
            <w:r>
              <w:t>13981149711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鲍常炜</w:t>
            </w:r>
            <w:bookmarkEnd w:id="13"/>
          </w:p>
        </w:tc>
        <w:tc>
          <w:tcPr>
            <w:tcW w:w="1313" w:type="dxa"/>
            <w:vAlign w:val="center"/>
          </w:tcPr>
          <w:p>
            <w:r>
              <w:rPr>
                <w:rFonts w:hint="eastAsia"/>
              </w:rPr>
              <w:t>管理者代表</w:t>
            </w:r>
          </w:p>
        </w:tc>
        <w:tc>
          <w:tcPr>
            <w:tcW w:w="2180" w:type="dxa"/>
          </w:tcPr>
          <w:p>
            <w:bookmarkStart w:id="14" w:name="管理者代表"/>
            <w:r>
              <w:t>徐拥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麦芽—— 糖化——过滤 —— 煮沸——冷却——浮选 ——前发酵——后发酵——啤酒过滤——清酒——灌装。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2021年10月19日 下午至2021年10月20日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E：许可范围内的雪花啤酒的生产涉及的相关环境管理活动</w:t>
            </w:r>
          </w:p>
          <w:p>
            <w:r>
              <w:t>O：许可范围内的雪花啤酒的生产所涉及的职业健康安全管理活动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E：03.10.05</w:t>
            </w:r>
          </w:p>
          <w:p>
            <w:r>
              <w:t>O：03.10.05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w:t>
            </w:r>
            <w:r>
              <w:rPr>
                <w:rFonts w:hint="eastAsia"/>
                <w:lang w:val="en-US" w:eastAsia="zh-CN"/>
              </w:rPr>
              <w:t>-24日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5"/>
        <w:gridCol w:w="606"/>
        <w:gridCol w:w="2615"/>
        <w:gridCol w:w="14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75" w:type="dxa"/>
            <w:shd w:val="clear" w:color="auto" w:fill="F3F3F3"/>
            <w:tcMar>
              <w:left w:w="57" w:type="dxa"/>
              <w:right w:w="57" w:type="dxa"/>
            </w:tcMar>
          </w:tcPr>
          <w:p>
            <w:r>
              <w:rPr>
                <w:rFonts w:hint="eastAsia"/>
              </w:rPr>
              <w:t>经营场所的地址</w:t>
            </w:r>
          </w:p>
          <w:p>
            <w:r>
              <w:rPr>
                <w:rFonts w:hint="eastAsia"/>
              </w:rPr>
              <w:t>（多现场和临时现场）</w:t>
            </w:r>
          </w:p>
        </w:tc>
        <w:tc>
          <w:tcPr>
            <w:tcW w:w="606" w:type="dxa"/>
            <w:shd w:val="clear" w:color="auto" w:fill="F3F3F3"/>
            <w:tcMar>
              <w:left w:w="57" w:type="dxa"/>
              <w:right w:w="57" w:type="dxa"/>
            </w:tcMar>
          </w:tcPr>
          <w:p>
            <w:r>
              <w:rPr>
                <w:rFonts w:hint="eastAsia"/>
              </w:rPr>
              <w:t>员工人数</w:t>
            </w:r>
          </w:p>
        </w:tc>
        <w:tc>
          <w:tcPr>
            <w:tcW w:w="2615" w:type="dxa"/>
            <w:shd w:val="clear" w:color="auto" w:fill="F3F3F3"/>
            <w:tcMar>
              <w:left w:w="57" w:type="dxa"/>
              <w:right w:w="57" w:type="dxa"/>
            </w:tcMar>
          </w:tcPr>
          <w:p>
            <w:r>
              <w:rPr>
                <w:rFonts w:hint="eastAsia"/>
              </w:rPr>
              <w:t>审核范围（产品和过程）</w:t>
            </w:r>
          </w:p>
          <w:p/>
          <w:p/>
        </w:tc>
        <w:tc>
          <w:tcPr>
            <w:tcW w:w="14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华润雪花啤酒（四川）有限责任公司绵阳分公司</w:t>
            </w:r>
            <w:r>
              <w:rPr>
                <w:rFonts w:hint="eastAsia"/>
                <w:sz w:val="21"/>
                <w:szCs w:val="21"/>
                <w:lang w:val="en-US" w:eastAsia="zh-CN"/>
              </w:rPr>
              <w:t>/</w:t>
            </w:r>
            <w:r>
              <w:rPr>
                <w:rFonts w:asciiTheme="minorEastAsia" w:hAnsiTheme="minorEastAsia" w:eastAsiaTheme="minorEastAsia"/>
                <w:sz w:val="20"/>
              </w:rPr>
              <w:t>绵阳市长虹大道南段242号</w:t>
            </w:r>
          </w:p>
        </w:tc>
        <w:tc>
          <w:tcPr>
            <w:tcW w:w="1675" w:type="dxa"/>
          </w:tcPr>
          <w:p>
            <w:pPr>
              <w:rPr>
                <w:lang w:val="de-DE" w:eastAsia="ja-JP"/>
              </w:rPr>
            </w:pPr>
            <w:r>
              <w:rPr>
                <w:rFonts w:asciiTheme="minorEastAsia" w:hAnsiTheme="minorEastAsia" w:eastAsiaTheme="minorEastAsia"/>
                <w:sz w:val="20"/>
              </w:rPr>
              <w:t>绵阳市长虹大道南段242号</w:t>
            </w:r>
          </w:p>
        </w:tc>
        <w:tc>
          <w:tcPr>
            <w:tcW w:w="606" w:type="dxa"/>
            <w:vAlign w:val="center"/>
          </w:tcPr>
          <w:p>
            <w:pPr>
              <w:rPr>
                <w:rFonts w:hint="default" w:eastAsia="宋体"/>
                <w:lang w:val="en-US" w:eastAsia="zh-CN"/>
              </w:rPr>
            </w:pPr>
            <w:r>
              <w:rPr>
                <w:rFonts w:hint="eastAsia"/>
                <w:lang w:val="en-US" w:eastAsia="zh-CN"/>
              </w:rPr>
              <w:t>148</w:t>
            </w:r>
          </w:p>
        </w:tc>
        <w:tc>
          <w:tcPr>
            <w:tcW w:w="2615" w:type="dxa"/>
            <w:vAlign w:val="center"/>
          </w:tcPr>
          <w:p>
            <w:pPr>
              <w:rPr>
                <w:lang w:eastAsia="ja-JP"/>
              </w:rPr>
            </w:pPr>
            <w:r>
              <w:rPr>
                <w:sz w:val="20"/>
              </w:rPr>
              <w:t>许可范围内的雪花啤酒的生产涉及的相关环境管理活动</w:t>
            </w:r>
          </w:p>
        </w:tc>
        <w:tc>
          <w:tcPr>
            <w:tcW w:w="1414" w:type="dxa"/>
            <w:vAlign w:val="center"/>
          </w:tcPr>
          <w:p>
            <w:pPr>
              <w:jc w:val="left"/>
              <w:rPr>
                <w:rFonts w:ascii="宋体" w:hAnsi="宋体" w:cs="宋体"/>
                <w:color w:val="000000"/>
                <w:kern w:val="0"/>
                <w:szCs w:val="21"/>
              </w:rPr>
            </w:pPr>
            <w:r>
              <w:rPr>
                <w:rFonts w:hint="eastAsia" w:ascii="宋体" w:hAnsi="宋体"/>
                <w:b/>
                <w:sz w:val="21"/>
                <w:szCs w:val="21"/>
              </w:rPr>
              <w:t>I</w:t>
            </w:r>
            <w:r>
              <w:rPr>
                <w:rFonts w:hint="eastAsia" w:ascii="宋体" w:hAnsi="宋体" w:cs="宋体"/>
                <w:color w:val="000000"/>
                <w:kern w:val="0"/>
                <w:szCs w:val="21"/>
              </w:rPr>
              <w:t>SO14001:2015</w:t>
            </w:r>
          </w:p>
          <w:p>
            <w:pPr>
              <w:rPr>
                <w:lang w:eastAsia="ja-JP"/>
              </w:rPr>
            </w:pP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华润雪花啤酒（四川）有限责任公司绵阳分公司</w:t>
            </w:r>
            <w:r>
              <w:rPr>
                <w:rFonts w:hint="eastAsia"/>
                <w:sz w:val="21"/>
                <w:szCs w:val="21"/>
                <w:lang w:val="en-US" w:eastAsia="zh-CN"/>
              </w:rPr>
              <w:t>/</w:t>
            </w:r>
            <w:r>
              <w:rPr>
                <w:rFonts w:asciiTheme="minorEastAsia" w:hAnsiTheme="minorEastAsia" w:eastAsiaTheme="minorEastAsia"/>
                <w:sz w:val="20"/>
              </w:rPr>
              <w:t>绵阳市长虹大道南段242号</w:t>
            </w:r>
          </w:p>
        </w:tc>
        <w:tc>
          <w:tcPr>
            <w:tcW w:w="1675"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绵阳市长虹大道南段242号</w:t>
            </w:r>
          </w:p>
        </w:tc>
        <w:tc>
          <w:tcPr>
            <w:tcW w:w="606" w:type="dxa"/>
            <w:vAlign w:val="center"/>
          </w:tcPr>
          <w:p>
            <w:pPr>
              <w:rPr>
                <w:lang w:eastAsia="ja-JP"/>
              </w:rPr>
            </w:pPr>
            <w:r>
              <w:rPr>
                <w:rFonts w:hint="eastAsia"/>
                <w:lang w:val="en-US" w:eastAsia="zh-CN"/>
              </w:rPr>
              <w:t>148</w:t>
            </w:r>
          </w:p>
        </w:tc>
        <w:tc>
          <w:tcPr>
            <w:tcW w:w="2615" w:type="dxa"/>
            <w:vAlign w:val="center"/>
          </w:tcPr>
          <w:p>
            <w:pPr>
              <w:rPr>
                <w:lang w:eastAsia="ja-JP"/>
              </w:rPr>
            </w:pPr>
            <w:r>
              <w:rPr>
                <w:sz w:val="20"/>
              </w:rPr>
              <w:t>许可范围内的雪花啤酒的生产所涉及的职业健康安全管理活动</w:t>
            </w:r>
          </w:p>
        </w:tc>
        <w:tc>
          <w:tcPr>
            <w:tcW w:w="1414" w:type="dxa"/>
            <w:vAlign w:val="center"/>
          </w:tcPr>
          <w:p>
            <w:pPr>
              <w:rPr>
                <w:lang w:eastAsia="ja-JP"/>
              </w:rPr>
            </w:pPr>
            <w:r>
              <w:rPr>
                <w:rFonts w:hint="eastAsia" w:ascii="宋体" w:hAnsi="宋体" w:cs="宋体"/>
                <w:color w:val="000000"/>
                <w:kern w:val="0"/>
                <w:szCs w:val="21"/>
              </w:rPr>
              <w:t>ISO45001</w:t>
            </w:r>
            <w:r>
              <w:rPr>
                <w:rFonts w:hint="eastAsia" w:ascii="宋体" w:hAnsi="宋体" w:cs="宋体"/>
                <w:color w:val="000000"/>
                <w:kern w:val="0"/>
                <w:szCs w:val="21"/>
                <w:lang w:val="en-US" w:eastAsia="zh-CN"/>
              </w:rPr>
              <w:t>:</w:t>
            </w:r>
            <w:r>
              <w:rPr>
                <w:rFonts w:hint="eastAsia" w:ascii="宋体" w:hAnsi="宋体" w:cs="宋体"/>
                <w:color w:val="000000"/>
                <w:kern w:val="0"/>
                <w:szCs w:val="21"/>
              </w:rPr>
              <w:t>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75" w:type="dxa"/>
            <w:vAlign w:val="center"/>
          </w:tcPr>
          <w:p>
            <w:pPr>
              <w:rPr>
                <w:lang w:eastAsia="ja-JP"/>
              </w:rPr>
            </w:pPr>
          </w:p>
        </w:tc>
        <w:tc>
          <w:tcPr>
            <w:tcW w:w="606" w:type="dxa"/>
            <w:vAlign w:val="center"/>
          </w:tcPr>
          <w:p>
            <w:pPr>
              <w:rPr>
                <w:lang w:eastAsia="ja-JP"/>
              </w:rPr>
            </w:pPr>
          </w:p>
        </w:tc>
        <w:tc>
          <w:tcPr>
            <w:tcW w:w="2615" w:type="dxa"/>
            <w:vAlign w:val="center"/>
          </w:tcPr>
          <w:p>
            <w:pPr>
              <w:rPr>
                <w:lang w:eastAsia="ja-JP"/>
              </w:rPr>
            </w:pPr>
          </w:p>
        </w:tc>
        <w:tc>
          <w:tcPr>
            <w:tcW w:w="14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75" w:type="dxa"/>
            <w:vAlign w:val="center"/>
          </w:tcPr>
          <w:p>
            <w:pPr>
              <w:rPr>
                <w:lang w:eastAsia="ja-JP"/>
              </w:rPr>
            </w:pPr>
          </w:p>
        </w:tc>
        <w:tc>
          <w:tcPr>
            <w:tcW w:w="606" w:type="dxa"/>
            <w:vAlign w:val="center"/>
          </w:tcPr>
          <w:p>
            <w:pPr>
              <w:rPr>
                <w:lang w:eastAsia="ja-JP"/>
              </w:rPr>
            </w:pPr>
          </w:p>
        </w:tc>
        <w:tc>
          <w:tcPr>
            <w:tcW w:w="2615" w:type="dxa"/>
            <w:vAlign w:val="center"/>
          </w:tcPr>
          <w:p>
            <w:pPr>
              <w:rPr>
                <w:lang w:eastAsia="ja-JP"/>
              </w:rPr>
            </w:pPr>
          </w:p>
        </w:tc>
        <w:tc>
          <w:tcPr>
            <w:tcW w:w="14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75" w:type="dxa"/>
            <w:vAlign w:val="center"/>
          </w:tcPr>
          <w:p>
            <w:pPr>
              <w:rPr>
                <w:lang w:eastAsia="ja-JP"/>
              </w:rPr>
            </w:pPr>
          </w:p>
        </w:tc>
        <w:tc>
          <w:tcPr>
            <w:tcW w:w="606" w:type="dxa"/>
            <w:vAlign w:val="center"/>
          </w:tcPr>
          <w:p>
            <w:pPr>
              <w:rPr>
                <w:lang w:eastAsia="ja-JP"/>
              </w:rPr>
            </w:pPr>
          </w:p>
        </w:tc>
        <w:tc>
          <w:tcPr>
            <w:tcW w:w="2615" w:type="dxa"/>
            <w:vAlign w:val="center"/>
          </w:tcPr>
          <w:p>
            <w:pPr>
              <w:rPr>
                <w:lang w:eastAsia="ja-JP"/>
              </w:rPr>
            </w:pPr>
          </w:p>
        </w:tc>
        <w:tc>
          <w:tcPr>
            <w:tcW w:w="141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2021-N1EMS-3093566</w:t>
            </w:r>
          </w:p>
          <w:p>
            <w:r>
              <w:t>2019-N1OHSMS-2093566</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ascii="宋体" w:hAnsi="宋体" w:cs="宋体"/>
                <w:color w:val="auto"/>
                <w:sz w:val="21"/>
                <w:szCs w:val="21"/>
                <w:highlight w:val="none"/>
                <w:lang w:val="en-US" w:eastAsia="zh-CN"/>
              </w:rPr>
              <w:t>上次审核开具的不符合项：无。关注项为：制造部对发酵区域内管道焊接作业办理的动火作业证填写不规范，经本次现场审核验证无类似情况发生。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许可范围内的雪花啤酒的生产涉及的相关环境管理活动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许可范围内的雪花啤酒的生产所涉及的职业健康安全管理活动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451485</wp:posOffset>
                  </wp:positionH>
                  <wp:positionV relativeFrom="paragraph">
                    <wp:posOffset>92710</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14:textFill>
                  <w14:solidFill>
                    <w14:schemeClr w14:val="tx1"/>
                  </w14:solidFill>
                </w14:textFill>
              </w:rPr>
              <w:t>2021年10月20日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ascii="Times New Roman" w:hAnsi="Times New Roman" w:cs="Times New Roman"/>
                <w:u w:val="single"/>
                <w:lang w:val="en-GB" w:eastAsia="zh-CN"/>
              </w:rPr>
              <w:t>以人为本   关爱生命  保护环境  珍惜资源  和谐发展</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43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339"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rPr>
                    <w:t>潜在火灾</w:t>
                  </w:r>
                </w:p>
              </w:tc>
              <w:tc>
                <w:tcPr>
                  <w:tcW w:w="4339"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rPr>
                    <w:t>固废排放</w:t>
                  </w:r>
                </w:p>
              </w:tc>
              <w:tc>
                <w:tcPr>
                  <w:tcW w:w="4339"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top"/>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4339" w:type="dxa"/>
                </w:tcPr>
                <w:p>
                  <w:pPr>
                    <w:shd w:val="clear" w:color="auto" w:fill="EBF1DE" w:themeFill="accent3" w:themeFillTint="32"/>
                    <w:rPr>
                      <w:rFonts w:hint="eastAsia"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top"/>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lang w:val="en-US" w:eastAsia="zh-CN"/>
                    </w:rPr>
                    <w:t>噪声排放</w:t>
                  </w:r>
                </w:p>
              </w:tc>
              <w:tc>
                <w:tcPr>
                  <w:tcW w:w="4339" w:type="dxa"/>
                </w:tcPr>
                <w:p>
                  <w:pPr>
                    <w:shd w:val="clear" w:color="auto" w:fill="EBF1DE" w:themeFill="accent3" w:themeFillTint="32"/>
                    <w:rPr>
                      <w:rFonts w:hint="eastAsia"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top"/>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粉尘的排放</w:t>
                  </w:r>
                </w:p>
              </w:tc>
              <w:tc>
                <w:tcPr>
                  <w:tcW w:w="4339" w:type="dxa"/>
                </w:tcPr>
                <w:p>
                  <w:pPr>
                    <w:shd w:val="clear" w:color="auto" w:fill="EBF1DE" w:themeFill="accent3" w:themeFillTint="32"/>
                    <w:rPr>
                      <w:rFonts w:hint="eastAsia"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top"/>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能源消耗（水、电、蒸汽）</w:t>
                  </w:r>
                </w:p>
              </w:tc>
              <w:tc>
                <w:tcPr>
                  <w:tcW w:w="4339" w:type="dxa"/>
                </w:tcPr>
                <w:p>
                  <w:pPr>
                    <w:shd w:val="clear" w:color="auto" w:fill="EBF1DE" w:themeFill="accent3" w:themeFillTint="32"/>
                    <w:rPr>
                      <w:rFonts w:hint="eastAsia"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top"/>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氨气泄漏</w:t>
                  </w:r>
                </w:p>
              </w:tc>
              <w:tc>
                <w:tcPr>
                  <w:tcW w:w="4339" w:type="dxa"/>
                </w:tcPr>
                <w:p>
                  <w:pPr>
                    <w:shd w:val="clear" w:color="auto" w:fill="EBF1DE" w:themeFill="accent3" w:themeFillTint="32"/>
                    <w:rPr>
                      <w:rFonts w:hint="eastAsia"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rPr>
                  </w:pPr>
                </w:p>
              </w:tc>
              <w:tc>
                <w:tcPr>
                  <w:tcW w:w="4339" w:type="dxa"/>
                </w:tcPr>
                <w:p>
                  <w:pPr>
                    <w:shd w:val="clear" w:color="auto" w:fill="EBF1DE" w:themeFill="accent3" w:themeFillTint="32"/>
                    <w:rPr>
                      <w:rFonts w:hint="eastAsia" w:asciiTheme="minorEastAsia" w:hAnsiTheme="minorEastAsia" w:eastAsiaTheme="minorEastAsia"/>
                      <w:b w:val="0"/>
                      <w:bCs w:val="0"/>
                      <w:sz w:val="21"/>
                      <w:szCs w:val="21"/>
                    </w:rPr>
                  </w:pPr>
                </w:p>
              </w:tc>
              <w:tc>
                <w:tcPr>
                  <w:tcW w:w="1717" w:type="dxa"/>
                </w:tcPr>
                <w:p>
                  <w:pPr>
                    <w:shd w:val="clear" w:color="auto" w:fill="EBF1DE" w:themeFill="accent3" w:themeFillTint="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339"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339"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ascii="宋体" w:hAnsi="宋体" w:eastAsia="宋体" w:cs="宋体"/>
              </w:rPr>
              <w:t>■</w:t>
            </w:r>
            <w:r>
              <w:rPr>
                <w:rFonts w:hint="eastAsia"/>
              </w:rPr>
              <w:t xml:space="preserve">排污许可证编号： </w:t>
            </w:r>
            <w:r>
              <w:rPr>
                <w:rFonts w:hint="eastAsia"/>
                <w:u w:val="single"/>
              </w:rPr>
              <w:t xml:space="preserve"> </w:t>
            </w:r>
            <w:r>
              <w:rPr>
                <w:rFonts w:hint="eastAsia"/>
                <w:u w:val="single"/>
                <w:lang w:val="en-US" w:eastAsia="zh-CN"/>
              </w:rPr>
              <w:t>91510700MA68RWA54G001Q</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ascii="宋体" w:hAnsi="宋体" w:eastAsia="宋体" w:cs="宋体"/>
              </w:rPr>
              <w:t>■</w:t>
            </w:r>
            <w:r>
              <w:rPr>
                <w:rFonts w:hint="eastAsia"/>
              </w:rPr>
              <w:t>环境影响报告书日期：</w:t>
            </w:r>
            <w:r>
              <w:rPr>
                <w:rFonts w:hint="eastAsia"/>
                <w:u w:val="single"/>
              </w:rPr>
              <w:t xml:space="preserve"> </w:t>
            </w:r>
            <w:r>
              <w:rPr>
                <w:rFonts w:hint="eastAsia"/>
                <w:u w:val="single"/>
                <w:lang w:val="en-US" w:eastAsia="zh-CN"/>
              </w:rPr>
              <w:t>2000年1月20日</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52"/>
              <w:gridCol w:w="113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52"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3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352"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134"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352"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13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352"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134"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352" w:type="dxa"/>
                  <w:shd w:val="clear" w:color="auto" w:fill="auto"/>
                  <w:vAlign w:val="center"/>
                </w:tcPr>
                <w:p>
                  <w:pPr>
                    <w:shd w:val="clear" w:color="auto" w:fill="EBF1DE" w:themeFill="accent3" w:themeFillTint="32"/>
                    <w:rPr>
                      <w:rFonts w:ascii="宋体" w:hAnsi="宋体"/>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134" w:type="dxa"/>
                  <w:shd w:val="clear" w:color="auto" w:fill="auto"/>
                  <w:vAlign w:val="center"/>
                </w:tcPr>
                <w:p>
                  <w:pPr>
                    <w:shd w:val="clear" w:color="auto" w:fill="EBF1DE" w:themeFill="accent3" w:themeFillTint="32"/>
                    <w:rPr>
                      <w:rFonts w:ascii="宋体" w:hAnsi="宋体"/>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352" w:type="dxa"/>
                  <w:shd w:val="clear" w:color="auto" w:fill="auto"/>
                  <w:vAlign w:val="center"/>
                </w:tcPr>
                <w:p>
                  <w:pPr>
                    <w:shd w:val="clear" w:color="auto" w:fill="EBF1DE" w:themeFill="accent3" w:themeFillTint="32"/>
                    <w:rPr>
                      <w:rFonts w:ascii="宋体" w:hAnsi="宋体"/>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134" w:type="dxa"/>
                  <w:shd w:val="clear" w:color="auto" w:fill="auto"/>
                  <w:vAlign w:val="center"/>
                </w:tcPr>
                <w:p>
                  <w:pPr>
                    <w:shd w:val="clear" w:color="auto" w:fill="EBF1DE" w:themeFill="accent3" w:themeFillTint="32"/>
                    <w:rPr>
                      <w:rFonts w:ascii="宋体" w:hAnsi="宋体"/>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b w:val="0"/>
                      <w:bCs/>
                      <w:szCs w:val="21"/>
                      <w:lang w:val="en-US" w:eastAsia="zh-CN"/>
                    </w:rPr>
                    <w:t>达标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rPr>
              <w:t>组织应确定、提供并维护所需</w:t>
            </w:r>
            <w:r>
              <w:rPr>
                <w:rFonts w:hint="eastAsia" w:ascii="Times New Roman" w:hAnsi="Times New Roman" w:eastAsia="宋体" w:cs="Times New Roman"/>
                <w:color w:val="000000" w:themeColor="text1"/>
                <w:highlight w:val="none"/>
                <w14:textFill>
                  <w14:solidFill>
                    <w14:schemeClr w14:val="tx1"/>
                  </w14:solidFill>
                </w14:textFill>
              </w:rPr>
              <w:t>的基础设施情况：</w:t>
            </w:r>
          </w:p>
          <w:p>
            <w:pPr>
              <w:shd w:val="clear" w:color="auto" w:fill="EBF1DE" w:themeFill="accent3" w:themeFillTint="32"/>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办公场所</w:t>
            </w:r>
            <w:r>
              <w:rPr>
                <w:rFonts w:hint="eastAsia" w:ascii="Times New Roman" w:hAnsi="Times New Roman" w:eastAsia="宋体" w:cs="Times New Roman"/>
                <w:color w:val="000000" w:themeColor="text1"/>
                <w:highlight w:val="none"/>
                <w14:textFill>
                  <w14:solidFill>
                    <w14:schemeClr w14:val="tx1"/>
                  </w14:solidFill>
                </w14:textFill>
              </w:rPr>
              <w:t>共约</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1500</w:t>
            </w:r>
            <w:r>
              <w:rPr>
                <w:rFonts w:hint="eastAsia" w:ascii="Times New Roman" w:hAnsi="Times New Roman" w:eastAsia="宋体" w:cs="Times New Roman"/>
                <w:color w:val="000000" w:themeColor="text1"/>
                <w:highlight w:val="none"/>
                <w14:textFill>
                  <w14:solidFill>
                    <w14:schemeClr w14:val="tx1"/>
                  </w14:solidFill>
                </w14:textFill>
              </w:rPr>
              <w:t>平方米</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厂房170亩</w:t>
            </w:r>
            <w:r>
              <w:rPr>
                <w:rFonts w:hint="eastAsia" w:ascii="Times New Roman" w:hAnsi="Times New Roman" w:eastAsia="宋体" w:cs="Times New Roman"/>
                <w:color w:val="000000" w:themeColor="text1"/>
                <w:highlight w:val="none"/>
                <w14:textFill>
                  <w14:solidFill>
                    <w14:schemeClr w14:val="tx1"/>
                  </w14:solidFill>
                </w14:textFill>
              </w:rPr>
              <w:t>。</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u w:val="single"/>
                <w:lang w:val="en-US" w:eastAsia="zh-CN"/>
              </w:rPr>
              <w:t>糖化系统、发酵系统、过滤系统、灌装系统、包装系统等生产设备。办公用</w:t>
            </w:r>
            <w:r>
              <w:rPr>
                <w:rFonts w:hint="eastAsia" w:ascii="Times New Roman" w:hAnsi="Times New Roman" w:eastAsia="宋体" w:cs="Times New Roman"/>
                <w:highlight w:val="none"/>
                <w:u w:val="single"/>
                <w:lang w:eastAsia="zh-CN"/>
              </w:rPr>
              <w:t>电脑、</w:t>
            </w:r>
            <w:r>
              <w:rPr>
                <w:rFonts w:hint="eastAsia" w:ascii="Times New Roman" w:hAnsi="Times New Roman" w:eastAsia="宋体" w:cs="Times New Roman"/>
                <w:highlight w:val="none"/>
                <w:u w:val="single"/>
                <w:lang w:val="en-US" w:eastAsia="zh-CN"/>
              </w:rPr>
              <w:t>打印机</w:t>
            </w:r>
            <w:r>
              <w:rPr>
                <w:rFonts w:hint="eastAsia" w:ascii="Times New Roman" w:hAnsi="Times New Roman" w:eastAsia="宋体" w:cs="Times New Roman"/>
                <w:highlight w:val="none"/>
                <w:u w:val="single"/>
                <w:lang w:eastAsia="zh-CN"/>
              </w:rPr>
              <w:t>等办公设备</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特种设备：</w:t>
            </w:r>
            <w:r>
              <w:rPr>
                <w:rFonts w:hint="eastAsia" w:ascii="Times New Roman" w:hAnsi="Times New Roman" w:eastAsia="宋体" w:cs="Times New Roman"/>
                <w:u w:val="single"/>
                <w:lang w:val="en-US" w:eastAsia="zh-CN"/>
              </w:rPr>
              <w:t>锅炉、压力容器、叉车</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宋体" w:hAnsi="宋体" w:eastAsia="宋体" w:cs="宋体"/>
                <w:lang w:eastAsia="zh-CN"/>
              </w:rPr>
              <w:t>■</w:t>
            </w:r>
            <w:r>
              <w:rPr>
                <w:rFonts w:hint="eastAsia" w:ascii="Times New Roman" w:hAnsi="Times New Roman" w:eastAsia="宋体" w:cs="Times New Roman"/>
              </w:rPr>
              <w:t xml:space="preserve">高压配电室 </w:t>
            </w:r>
            <w:r>
              <w:rPr>
                <w:rFonts w:hint="eastAsia" w:ascii="宋体" w:hAnsi="宋体" w:eastAsia="宋体" w:cs="宋体"/>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宋体" w:hAnsi="宋体" w:eastAsia="宋体" w:cs="宋体"/>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宋体" w:hAnsi="宋体" w:eastAsia="宋体" w:cs="宋体"/>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ascii="宋体" w:hAnsi="宋体"/>
                <w:b w:val="0"/>
                <w:bCs w:val="0"/>
                <w:color w:val="auto"/>
                <w:szCs w:val="21"/>
                <w:u w:val="single"/>
              </w:rPr>
              <w:t>可燃气体检测报警器</w:t>
            </w:r>
            <w:r>
              <w:rPr>
                <w:rFonts w:hint="eastAsia" w:ascii="宋体" w:hAnsi="宋体"/>
                <w:b w:val="0"/>
                <w:bCs w:val="0"/>
                <w:color w:val="auto"/>
                <w:szCs w:val="21"/>
                <w:u w:val="single"/>
                <w:lang w:eastAsia="zh-CN"/>
              </w:rPr>
              <w:t>、</w:t>
            </w:r>
            <w:r>
              <w:rPr>
                <w:rFonts w:hint="eastAsia" w:ascii="宋体" w:hAnsi="宋体"/>
                <w:b w:val="0"/>
                <w:bCs w:val="0"/>
                <w:color w:val="auto"/>
                <w:szCs w:val="21"/>
                <w:u w:val="single"/>
              </w:rPr>
              <w:t>氨气</w:t>
            </w:r>
            <w:r>
              <w:rPr>
                <w:rFonts w:hint="eastAsia" w:ascii="宋体" w:hAnsi="宋体"/>
                <w:b w:val="0"/>
                <w:bCs w:val="0"/>
                <w:color w:val="auto"/>
                <w:szCs w:val="21"/>
                <w:u w:val="single"/>
                <w:lang w:val="en-US" w:eastAsia="zh-CN"/>
              </w:rPr>
              <w:t>检测</w:t>
            </w:r>
            <w:r>
              <w:rPr>
                <w:rFonts w:hint="eastAsia" w:ascii="宋体" w:hAnsi="宋体"/>
                <w:b w:val="0"/>
                <w:bCs w:val="0"/>
                <w:color w:val="auto"/>
                <w:szCs w:val="21"/>
                <w:u w:val="single"/>
              </w:rPr>
              <w:t>报警器</w:t>
            </w:r>
            <w:r>
              <w:rPr>
                <w:rFonts w:hint="eastAsia"/>
                <w:b w:val="0"/>
                <w:bCs w:val="0"/>
                <w:u w:val="single"/>
              </w:rPr>
              <w:t xml:space="preserve"> </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宋体" w:hAnsi="宋体" w:eastAsia="宋体" w:cs="宋体"/>
                <w:lang w:eastAsia="zh-CN"/>
              </w:rPr>
              <w:t>■</w:t>
            </w:r>
            <w:r>
              <w:rPr>
                <w:rFonts w:hint="eastAsia"/>
              </w:rPr>
              <w:t xml:space="preserve">未进行定期校准/检定的有： </w:t>
            </w:r>
            <w:r>
              <w:rPr>
                <w:rFonts w:hint="eastAsia"/>
                <w:u w:val="single"/>
              </w:rPr>
              <w:t xml:space="preserve"> </w:t>
            </w:r>
            <w:r>
              <w:rPr>
                <w:rFonts w:hint="eastAsia" w:ascii="宋体" w:hAnsi="宋体"/>
                <w:b w:val="0"/>
                <w:bCs w:val="0"/>
                <w:color w:val="auto"/>
                <w:szCs w:val="21"/>
                <w:u w:val="single"/>
              </w:rPr>
              <w:t>可燃气体检测报警器</w:t>
            </w:r>
            <w:r>
              <w:rPr>
                <w:rFonts w:hint="eastAsia" w:ascii="宋体" w:hAnsi="宋体"/>
                <w:b w:val="0"/>
                <w:bCs w:val="0"/>
                <w:color w:val="auto"/>
                <w:szCs w:val="21"/>
                <w:u w:val="single"/>
                <w:lang w:eastAsia="zh-CN"/>
              </w:rPr>
              <w:t>、</w:t>
            </w:r>
            <w:r>
              <w:rPr>
                <w:rFonts w:hint="eastAsia" w:ascii="宋体" w:hAnsi="宋体"/>
                <w:b w:val="0"/>
                <w:bCs w:val="0"/>
                <w:color w:val="auto"/>
                <w:szCs w:val="21"/>
                <w:u w:val="single"/>
              </w:rPr>
              <w:t>氨气</w:t>
            </w:r>
            <w:r>
              <w:rPr>
                <w:rFonts w:hint="eastAsia" w:ascii="宋体" w:hAnsi="宋体"/>
                <w:b w:val="0"/>
                <w:bCs w:val="0"/>
                <w:color w:val="auto"/>
                <w:szCs w:val="21"/>
                <w:u w:val="single"/>
                <w:lang w:val="en-US" w:eastAsia="zh-CN"/>
              </w:rPr>
              <w:t>检测</w:t>
            </w:r>
            <w:r>
              <w:rPr>
                <w:rFonts w:hint="eastAsia" w:ascii="宋体" w:hAnsi="宋体"/>
                <w:b w:val="0"/>
                <w:bCs w:val="0"/>
                <w:color w:val="auto"/>
                <w:szCs w:val="21"/>
                <w:u w:val="single"/>
              </w:rPr>
              <w:t>报警器</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宋体" w:hAnsi="宋体" w:eastAsia="宋体" w:cs="宋体"/>
                <w:lang w:eastAsia="zh-CN"/>
              </w:rPr>
              <w:t>■</w:t>
            </w:r>
            <w:r>
              <w:rPr>
                <w:rFonts w:hint="eastAsia"/>
              </w:rPr>
              <w:t xml:space="preserve">锅炉工  </w:t>
            </w:r>
            <w:r>
              <w:rPr>
                <w:rFonts w:hint="eastAsia" w:ascii="宋体" w:hAnsi="宋体" w:eastAsia="宋体" w:cs="宋体"/>
                <w:lang w:eastAsia="zh-CN"/>
              </w:rPr>
              <w:t>■</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潜在火灾</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636"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固废排放</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636"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63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噪声排放</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63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粉尘的排放</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63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能源消耗（水、电、蒸汽）</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63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氨气泄漏</w:t>
                  </w:r>
                </w:p>
              </w:tc>
              <w:tc>
                <w:tcPr>
                  <w:tcW w:w="4394"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636"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rPr>
                      <w:rFonts w:hint="eastAsia" w:ascii="Times New Roman" w:hAnsi="Times New Roman" w:cs="Times New Roman"/>
                      <w:color w:val="000000"/>
                      <w:lang w:val="en-US" w:eastAsia="zh-CN"/>
                    </w:rPr>
                  </w:pPr>
                </w:p>
              </w:tc>
              <w:tc>
                <w:tcPr>
                  <w:tcW w:w="4394" w:type="dxa"/>
                </w:tcPr>
                <w:p>
                  <w:pPr>
                    <w:shd w:val="clear" w:color="auto" w:fill="EBF1DE" w:themeFill="accent3" w:themeFillTint="32"/>
                    <w:jc w:val="left"/>
                  </w:pPr>
                </w:p>
              </w:tc>
              <w:tc>
                <w:tcPr>
                  <w:tcW w:w="2636"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lang w:eastAsia="zh-CN"/>
              </w:rPr>
              <w:t>■</w:t>
            </w:r>
            <w:r>
              <w:rPr>
                <w:rFonts w:hint="eastAsia"/>
              </w:rPr>
              <w:t xml:space="preserve">MSDS </w:t>
            </w:r>
            <w:r>
              <w:rPr>
                <w:rFonts w:hint="eastAsia" w:ascii="Wingdings" w:hAnsi="Wingdings"/>
                <w:lang w:eastAsia="zh-CN"/>
              </w:rPr>
              <w:sym w:font="Wingdings 2" w:char="00A3"/>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宋体" w:hAnsi="宋体" w:eastAsia="宋体" w:cs="宋体"/>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rFonts w:hint="eastAsia" w:eastAsia="宋体"/>
                <w:highlight w:val="none"/>
                <w:lang w:val="en-US" w:eastAsia="zh-CN"/>
              </w:rPr>
            </w:pPr>
            <w:r>
              <w:rPr>
                <w:rFonts w:hint="eastAsia"/>
                <w:highlight w:val="none"/>
              </w:rPr>
              <w:t>制订的应急预案包括：</w:t>
            </w:r>
            <w:r>
              <w:rPr>
                <w:rFonts w:hint="eastAsia" w:cs="宋体"/>
                <w:szCs w:val="21"/>
                <w:highlight w:val="none"/>
              </w:rPr>
              <w:t>《火灾事故应急预案》、《机动车厂内肇事应急预案》、《危化品泄漏应急预案》、《配电站事故应急预案》</w:t>
            </w:r>
            <w:r>
              <w:rPr>
                <w:rFonts w:hint="eastAsia" w:cs="宋体"/>
                <w:szCs w:val="21"/>
                <w:highlight w:val="none"/>
                <w:lang w:val="en-US" w:eastAsia="zh-CN"/>
              </w:rPr>
              <w:t>等</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宋体" w:hAnsi="宋体" w:eastAsia="宋体" w:cs="宋体"/>
                <w:highlight w:val="none"/>
                <w:lang w:eastAsia="zh-CN"/>
              </w:rPr>
              <w:t>■</w:t>
            </w:r>
            <w:r>
              <w:rPr>
                <w:rFonts w:hint="eastAsia"/>
                <w:highlight w:val="none"/>
              </w:rPr>
              <w:t xml:space="preserve">危化品泄露 </w:t>
            </w:r>
            <w:r>
              <w:rPr>
                <w:rFonts w:hint="eastAsia" w:ascii="宋体" w:hAnsi="宋体" w:eastAsia="宋体" w:cs="宋体"/>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于2021年7月27日组织了中暑应急演练、2021年3月30日组织了配电站事故应急演练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2021年7月15日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u w:val="single"/>
              </w:rPr>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ascii="宋体" w:hAnsi="宋体" w:cs="宋体"/>
                <w:color w:val="auto"/>
                <w:szCs w:val="21"/>
                <w:highlight w:val="none"/>
                <w:u w:val="single"/>
                <w:lang w:val="en-US" w:eastAsia="zh-CN"/>
              </w:rPr>
              <w:t>绵凯（2021）检03054W号、绵凯（2021）检08131W号、绵凯（2021）检08130W号等</w:t>
            </w:r>
            <w:r>
              <w:rPr>
                <w:rFonts w:hint="eastAsia"/>
                <w:highlight w:val="none"/>
                <w:u w:val="single"/>
                <w:lang w:val="en-US" w:eastAsia="zh-CN"/>
              </w:rPr>
              <w:t xml:space="preserve">   </w:t>
            </w:r>
            <w:r>
              <w:rPr>
                <w:rFonts w:hint="eastAsia"/>
                <w:u w:val="single"/>
              </w:rPr>
              <w:t xml:space="preserve">   。</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cs="Times New Roman"/>
                <w:highlight w:val="none"/>
                <w:u w:val="single"/>
                <w:lang w:eastAsia="zh-CN"/>
              </w:rPr>
              <w:t>2021年6月8日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cs="宋体"/>
                <w:color w:val="auto"/>
                <w:szCs w:val="21"/>
                <w:u w:val="single"/>
                <w:lang w:eastAsia="zh-CN"/>
              </w:rPr>
              <w:t>2021年7月6日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96"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jc w:val="left"/>
                    <w:rPr>
                      <w:rFonts w:hint="eastAsia" w:ascii="Times New Roman" w:hAnsi="Times New Roman"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396"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jc w:val="left"/>
                    <w:rPr>
                      <w:rFonts w:hint="default" w:ascii="Times New Roman" w:hAnsi="Times New Roman"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396"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jc w:val="left"/>
                    <w:rPr>
                      <w:rFonts w:hint="eastAsia" w:ascii="Times New Roman" w:hAnsi="Times New Roman" w:eastAsia="宋体" w:cs="Times New Roman"/>
                      <w:color w:val="000000"/>
                      <w:sz w:val="21"/>
                      <w:szCs w:val="21"/>
                      <w:highlight w:val="none"/>
                      <w:lang w:eastAsia="zh-CN"/>
                    </w:rPr>
                  </w:pPr>
                  <w:r>
                    <w:rPr>
                      <w:rFonts w:hint="eastAsia" w:ascii="宋体" w:hAnsi="宋体" w:eastAsia="宋体"/>
                      <w:b w:val="0"/>
                      <w:bCs w:val="0"/>
                      <w:color w:val="000000"/>
                      <w:sz w:val="21"/>
                      <w:szCs w:val="21"/>
                      <w:lang w:val="en-US" w:eastAsia="zh-CN"/>
                    </w:rPr>
                    <w:t>意外伤害</w:t>
                  </w:r>
                </w:p>
              </w:tc>
              <w:tc>
                <w:tcPr>
                  <w:tcW w:w="4396"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jc w:val="left"/>
                    <w:rPr>
                      <w:rFonts w:hint="eastAsia" w:ascii="Times New Roman" w:hAnsi="Times New Roman" w:eastAsia="宋体" w:cs="Times New Roman"/>
                      <w:color w:val="000000"/>
                      <w:sz w:val="21"/>
                      <w:szCs w:val="21"/>
                      <w:highlight w:val="none"/>
                      <w:lang w:eastAsia="zh-CN"/>
                    </w:rPr>
                  </w:pPr>
                </w:p>
              </w:tc>
              <w:tc>
                <w:tcPr>
                  <w:tcW w:w="4396"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ascii="宋体" w:hAnsi="宋体" w:eastAsia="宋体" w:cs="宋体"/>
                <w:color w:val="000000" w:themeColor="text1"/>
              </w:rPr>
              <w:t>■</w:t>
            </w:r>
            <w:r>
              <w:rPr>
                <w:rFonts w:hint="eastAsia"/>
                <w:color w:val="000000" w:themeColor="text1"/>
              </w:rPr>
              <w:t>职业病体检报告书日期：</w:t>
            </w:r>
            <w:r>
              <w:rPr>
                <w:rFonts w:hint="eastAsia"/>
                <w:color w:val="000000" w:themeColor="text1"/>
                <w:u w:val="single"/>
                <w:lang w:val="en-US" w:eastAsia="zh-CN"/>
              </w:rPr>
              <w:t>2020年12月3日</w:t>
            </w:r>
            <w:r>
              <w:rPr>
                <w:rFonts w:hint="eastAsia"/>
                <w:color w:val="000000" w:themeColor="text1"/>
                <w:u w:val="single"/>
              </w:rPr>
              <w:t xml:space="preserve">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川泰（职）检</w:t>
            </w:r>
            <w:r>
              <w:rPr>
                <w:rFonts w:hint="eastAsia" w:ascii="宋体" w:hAnsi="宋体" w:eastAsia="宋体" w:cs="宋体"/>
                <w:color w:val="000000" w:themeColor="text1"/>
                <w:u w:val="single"/>
                <w:lang w:val="en-US" w:eastAsia="zh-CN"/>
              </w:rPr>
              <w:t>[</w:t>
            </w:r>
            <w:r>
              <w:rPr>
                <w:rFonts w:hint="eastAsia" w:ascii="宋体" w:hAnsi="宋体" w:cs="宋体"/>
                <w:color w:val="000000" w:themeColor="text1"/>
                <w:u w:val="single"/>
                <w:lang w:val="en-US" w:eastAsia="zh-CN"/>
              </w:rPr>
              <w:t>2020</w:t>
            </w:r>
            <w:r>
              <w:rPr>
                <w:rFonts w:hint="eastAsia" w:ascii="宋体" w:hAnsi="宋体" w:eastAsia="宋体" w:cs="宋体"/>
                <w:color w:val="000000" w:themeColor="text1"/>
                <w:u w:val="single"/>
                <w:lang w:val="en-US" w:eastAsia="zh-CN"/>
              </w:rPr>
              <w:t>]</w:t>
            </w:r>
            <w:r>
              <w:rPr>
                <w:rFonts w:hint="eastAsia" w:ascii="宋体" w:hAnsi="宋体" w:cs="宋体"/>
                <w:color w:val="000000" w:themeColor="text1"/>
                <w:u w:val="single"/>
                <w:lang w:val="en-US" w:eastAsia="zh-CN"/>
              </w:rPr>
              <w:t>778号，2021年</w:t>
            </w:r>
            <w:r>
              <w:rPr>
                <w:rFonts w:hint="eastAsia"/>
                <w:color w:val="000000" w:themeColor="text1"/>
                <w:u w:val="single"/>
                <w:lang w:val="en-US" w:eastAsia="zh-CN"/>
              </w:rPr>
              <w:t xml:space="preserve">已采样，报告未出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160"/>
              <w:gridCol w:w="132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60" w:type="dxa"/>
                  <w:shd w:val="clear" w:color="auto" w:fill="auto"/>
                </w:tcPr>
                <w:p>
                  <w:pPr>
                    <w:rPr>
                      <w:rFonts w:ascii="宋体" w:hAnsi="宋体"/>
                      <w:highlight w:val="none"/>
                    </w:rPr>
                  </w:pPr>
                  <w:r>
                    <w:rPr>
                      <w:rFonts w:hint="eastAsia" w:ascii="宋体" w:hAnsi="宋体"/>
                      <w:highlight w:val="none"/>
                    </w:rPr>
                    <w:t>控制措施</w:t>
                  </w:r>
                </w:p>
              </w:tc>
              <w:tc>
                <w:tcPr>
                  <w:tcW w:w="1324"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无火灾安全事故</w:t>
                  </w: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24"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无触电事故</w:t>
                  </w:r>
                </w:p>
              </w:tc>
              <w:tc>
                <w:tcPr>
                  <w:tcW w:w="3160"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324" w:type="dxa"/>
                  <w:shd w:val="clear" w:color="auto" w:fill="auto"/>
                  <w:vAlign w:val="center"/>
                </w:tcPr>
                <w:p>
                  <w:pPr>
                    <w:rPr>
                      <w:rFonts w:hint="default" w:ascii="Times New Roman" w:hAnsi="Times New Roman" w:cs="Times New Roman"/>
                      <w:highlight w:val="none"/>
                      <w:lang w:val="en-US" w:eastAsia="zh-CN"/>
                    </w:rPr>
                  </w:pPr>
                  <w:r>
                    <w:rPr>
                      <w:rFonts w:hint="eastAsia"/>
                      <w:highlight w:val="none"/>
                      <w:lang w:val="en-US" w:eastAsia="zh-CN"/>
                    </w:rPr>
                    <w:t>行政部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无职业病发生</w:t>
                  </w: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324" w:type="dxa"/>
                  <w:shd w:val="clear" w:color="auto" w:fill="auto"/>
                  <w:vAlign w:val="center"/>
                </w:tcPr>
                <w:p>
                  <w:pPr>
                    <w:rPr>
                      <w:rFonts w:hint="default" w:ascii="宋体" w:hAnsi="宋体" w:eastAsia="宋体"/>
                      <w:highlight w:val="none"/>
                      <w:lang w:val="en-US" w:eastAsia="zh-CN"/>
                    </w:rPr>
                  </w:pPr>
                  <w:r>
                    <w:rPr>
                      <w:rFonts w:hint="eastAsia"/>
                      <w:highlight w:val="none"/>
                      <w:lang w:val="en-US" w:eastAsia="zh-CN"/>
                    </w:rPr>
                    <w:t>行政部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无重大人员伤亡事故发生；轻伤事故的发生每年小于3次</w:t>
                  </w: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324" w:type="dxa"/>
                  <w:shd w:val="clear" w:color="auto" w:fill="auto"/>
                  <w:vAlign w:val="center"/>
                </w:tcPr>
                <w:p>
                  <w:pPr>
                    <w:rPr>
                      <w:rFonts w:hint="default" w:ascii="宋体" w:hAnsi="宋体"/>
                      <w:highlight w:val="none"/>
                      <w:lang w:val="en-US"/>
                    </w:rPr>
                  </w:pPr>
                  <w:r>
                    <w:rPr>
                      <w:rFonts w:hint="eastAsia"/>
                      <w:highlight w:val="none"/>
                      <w:lang w:val="en-US" w:eastAsia="zh-CN"/>
                    </w:rPr>
                    <w:t>行政部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160"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324"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val="en-US" w:eastAsia="zh-CN"/>
              </w:rPr>
              <w:t>糖化系统、发酵系统、过滤系统、灌装系统、包装系统等生产设备。办公用</w:t>
            </w:r>
            <w:r>
              <w:rPr>
                <w:rFonts w:hint="eastAsia" w:ascii="Times New Roman" w:hAnsi="Times New Roman" w:eastAsia="宋体" w:cs="Times New Roman"/>
                <w:highlight w:val="none"/>
                <w:u w:val="single"/>
                <w:lang w:eastAsia="zh-CN"/>
              </w:rPr>
              <w:t>电脑、</w:t>
            </w:r>
            <w:r>
              <w:rPr>
                <w:rFonts w:hint="eastAsia" w:ascii="Times New Roman" w:hAnsi="Times New Roman" w:eastAsia="宋体" w:cs="Times New Roman"/>
                <w:highlight w:val="none"/>
                <w:u w:val="single"/>
                <w:lang w:val="en-US" w:eastAsia="zh-CN"/>
              </w:rPr>
              <w:t>打印机</w:t>
            </w:r>
            <w:r>
              <w:rPr>
                <w:rFonts w:hint="eastAsia" w:ascii="Times New Roman" w:hAnsi="Times New Roman" w:eastAsia="宋体" w:cs="Times New Roman"/>
                <w:highlight w:val="none"/>
                <w:u w:val="single"/>
                <w:lang w:eastAsia="zh-CN"/>
              </w:rPr>
              <w:t>等办公设备</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 xml:space="preserve">特种设备： </w:t>
            </w:r>
            <w:r>
              <w:rPr>
                <w:rFonts w:hint="eastAsia" w:ascii="Times New Roman" w:hAnsi="Times New Roman" w:eastAsia="宋体" w:cs="Times New Roman"/>
                <w:u w:val="single"/>
                <w:lang w:val="en-US" w:eastAsia="zh-CN"/>
              </w:rPr>
              <w:t>锅炉、压力容器、叉车</w:t>
            </w:r>
          </w:p>
          <w:p>
            <w:r>
              <w:rPr>
                <w:rFonts w:hint="eastAsia"/>
              </w:rPr>
              <w:t>辅助场所：</w:t>
            </w:r>
            <w:r>
              <w:rPr>
                <w:rFonts w:hint="eastAsia" w:ascii="宋体" w:hAnsi="宋体" w:eastAsia="宋体" w:cs="宋体"/>
                <w:lang w:eastAsia="zh-CN"/>
              </w:rPr>
              <w:t>■</w:t>
            </w:r>
            <w:r>
              <w:rPr>
                <w:rFonts w:hint="eastAsia"/>
              </w:rPr>
              <w:t xml:space="preserve">高压配电室 </w:t>
            </w:r>
            <w:r>
              <w:rPr>
                <w:rFonts w:hint="eastAsia" w:ascii="宋体" w:hAnsi="宋体" w:eastAsia="宋体" w:cs="宋体"/>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宋体" w:hAnsi="宋体" w:eastAsia="宋体" w:cs="宋体"/>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宋体" w:hAnsi="宋体" w:eastAsia="宋体" w:cs="宋体"/>
                <w:lang w:eastAsia="zh-CN"/>
              </w:rPr>
              <w:t>■</w:t>
            </w:r>
            <w:r>
              <w:rPr>
                <w:rFonts w:hint="eastAsia"/>
              </w:rPr>
              <w:t xml:space="preserve">可燃气体探测器 </w:t>
            </w:r>
            <w:r>
              <w:rPr>
                <w:rFonts w:hint="eastAsia" w:ascii="宋体" w:hAnsi="宋体" w:eastAsia="宋体" w:cs="宋体"/>
                <w:lang w:eastAsia="zh-CN"/>
              </w:rPr>
              <w:t>■</w:t>
            </w:r>
            <w:r>
              <w:rPr>
                <w:rFonts w:hint="eastAsia" w:ascii="宋体" w:hAnsi="宋体"/>
                <w:b w:val="0"/>
                <w:bCs w:val="0"/>
                <w:color w:val="auto"/>
                <w:szCs w:val="21"/>
                <w:u w:val="none"/>
              </w:rPr>
              <w:t>氨气</w:t>
            </w:r>
            <w:r>
              <w:rPr>
                <w:rFonts w:hint="eastAsia" w:ascii="宋体" w:hAnsi="宋体"/>
                <w:b w:val="0"/>
                <w:bCs w:val="0"/>
                <w:color w:val="auto"/>
                <w:szCs w:val="21"/>
                <w:u w:val="none"/>
                <w:lang w:val="en-US" w:eastAsia="zh-CN"/>
              </w:rPr>
              <w:t>检测</w:t>
            </w:r>
            <w:r>
              <w:rPr>
                <w:rFonts w:hint="eastAsia" w:ascii="宋体" w:hAnsi="宋体"/>
                <w:b w:val="0"/>
                <w:bCs w:val="0"/>
                <w:color w:val="auto"/>
                <w:szCs w:val="21"/>
                <w:u w:val="none"/>
              </w:rPr>
              <w:t>报警器</w:t>
            </w:r>
            <w:r>
              <w:rPr>
                <w:rFonts w:hint="eastAsia"/>
              </w:rPr>
              <w:t xml:space="preserve">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宋体" w:hAnsi="宋体" w:eastAsia="宋体" w:cs="宋体"/>
                <w:lang w:eastAsia="zh-CN"/>
              </w:rPr>
              <w:t>■</w:t>
            </w:r>
            <w:r>
              <w:rPr>
                <w:rFonts w:hint="eastAsia"/>
              </w:rPr>
              <w:t xml:space="preserve">未进行定期校准/检定的有： </w:t>
            </w:r>
            <w:r>
              <w:rPr>
                <w:rFonts w:hint="eastAsia" w:ascii="宋体" w:hAnsi="宋体"/>
                <w:b w:val="0"/>
                <w:bCs w:val="0"/>
                <w:color w:val="auto"/>
                <w:szCs w:val="21"/>
                <w:u w:val="single"/>
              </w:rPr>
              <w:t>可燃气体检测报警器</w:t>
            </w:r>
            <w:r>
              <w:rPr>
                <w:rFonts w:hint="eastAsia" w:ascii="宋体" w:hAnsi="宋体"/>
                <w:b w:val="0"/>
                <w:bCs w:val="0"/>
                <w:color w:val="auto"/>
                <w:szCs w:val="21"/>
                <w:u w:val="single"/>
                <w:lang w:eastAsia="zh-CN"/>
              </w:rPr>
              <w:t>、</w:t>
            </w:r>
            <w:r>
              <w:rPr>
                <w:rFonts w:hint="eastAsia" w:ascii="宋体" w:hAnsi="宋体"/>
                <w:b w:val="0"/>
                <w:bCs w:val="0"/>
                <w:color w:val="auto"/>
                <w:szCs w:val="21"/>
                <w:u w:val="single"/>
              </w:rPr>
              <w:t>氨气</w:t>
            </w:r>
            <w:r>
              <w:rPr>
                <w:rFonts w:hint="eastAsia" w:ascii="宋体" w:hAnsi="宋体"/>
                <w:b w:val="0"/>
                <w:bCs w:val="0"/>
                <w:color w:val="auto"/>
                <w:szCs w:val="21"/>
                <w:u w:val="single"/>
                <w:lang w:val="en-US" w:eastAsia="zh-CN"/>
              </w:rPr>
              <w:t>检测</w:t>
            </w:r>
            <w:r>
              <w:rPr>
                <w:rFonts w:hint="eastAsia" w:ascii="宋体" w:hAnsi="宋体"/>
                <w:b w:val="0"/>
                <w:bCs w:val="0"/>
                <w:color w:val="auto"/>
                <w:szCs w:val="21"/>
                <w:u w:val="single"/>
              </w:rPr>
              <w:t>报警器</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 xml:space="preserve">电工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宋体" w:hAnsi="宋体" w:eastAsia="宋体" w:cs="宋体"/>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宋体" w:hAnsi="宋体" w:eastAsia="宋体" w:cs="宋体"/>
                <w:lang w:eastAsia="zh-CN"/>
              </w:rPr>
              <w:t>■</w:t>
            </w:r>
            <w:r>
              <w:rPr>
                <w:rFonts w:hint="eastAsia" w:ascii="Times New Roman" w:hAnsi="Times New Roman" w:cs="Times New Roman"/>
              </w:rPr>
              <w:t xml:space="preserve">锅炉工  </w:t>
            </w:r>
            <w:r>
              <w:rPr>
                <w:rFonts w:hint="eastAsia" w:ascii="宋体" w:hAnsi="宋体" w:eastAsia="宋体" w:cs="宋体"/>
                <w:lang w:eastAsia="zh-CN"/>
              </w:rPr>
              <w:t>■</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ascii="宋体" w:hAnsi="宋体" w:eastAsia="宋体" w:cs="宋体"/>
                    </w:rPr>
                    <w:t>■</w:t>
                  </w:r>
                  <w:r>
                    <w:rPr>
                      <w:rFonts w:hint="eastAsia"/>
                    </w:rPr>
                    <w:t xml:space="preserve">定期检测  □压力巡视 </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宋体" w:hAnsi="宋体" w:eastAsia="宋体" w:cs="宋体"/>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宋体" w:hAnsi="宋体" w:eastAsia="宋体" w:cs="宋体"/>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eastAsia="宋体"/>
                <w:lang w:val="en-US" w:eastAsia="zh-CN"/>
              </w:rPr>
            </w:pPr>
            <w:r>
              <w:rPr>
                <w:rFonts w:hint="eastAsia"/>
              </w:rPr>
              <w:t>制订的应急预案包括：《火灾事故应急预案》、《机动车厂内肇事应急预案》、《危化品泄漏应急预案》、《配电站事故应急预案》</w:t>
            </w:r>
            <w:r>
              <w:rPr>
                <w:rFonts w:hint="eastAsia"/>
                <w:lang w:val="en-US" w:eastAsia="zh-CN"/>
              </w:rPr>
              <w:t>等</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于2021年7月27日组织了中暑应急演练、2021年3月30日组织了配电站事故应急演练。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2021年7月15日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川泰（职）检</w:t>
            </w:r>
            <w:r>
              <w:rPr>
                <w:rFonts w:hint="eastAsia" w:ascii="宋体" w:hAnsi="宋体" w:eastAsia="宋体" w:cs="宋体"/>
                <w:color w:val="000000" w:themeColor="text1"/>
                <w:u w:val="single"/>
                <w:lang w:val="en-US" w:eastAsia="zh-CN"/>
              </w:rPr>
              <w:t>[</w:t>
            </w:r>
            <w:r>
              <w:rPr>
                <w:rFonts w:hint="eastAsia" w:ascii="宋体" w:hAnsi="宋体" w:cs="宋体"/>
                <w:color w:val="000000" w:themeColor="text1"/>
                <w:u w:val="single"/>
                <w:lang w:val="en-US" w:eastAsia="zh-CN"/>
              </w:rPr>
              <w:t>2020</w:t>
            </w:r>
            <w:r>
              <w:rPr>
                <w:rFonts w:hint="eastAsia" w:ascii="宋体" w:hAnsi="宋体" w:eastAsia="宋体" w:cs="宋体"/>
                <w:color w:val="000000" w:themeColor="text1"/>
                <w:u w:val="single"/>
                <w:lang w:val="en-US" w:eastAsia="zh-CN"/>
              </w:rPr>
              <w:t>]</w:t>
            </w:r>
            <w:r>
              <w:rPr>
                <w:rFonts w:hint="eastAsia" w:ascii="宋体" w:hAnsi="宋体" w:cs="宋体"/>
                <w:color w:val="000000" w:themeColor="text1"/>
                <w:u w:val="single"/>
                <w:lang w:val="en-US" w:eastAsia="zh-CN"/>
              </w:rPr>
              <w:t>778号，2021年</w:t>
            </w:r>
            <w:r>
              <w:rPr>
                <w:rFonts w:hint="eastAsia"/>
                <w:color w:val="000000" w:themeColor="text1"/>
                <w:u w:val="single"/>
                <w:lang w:val="en-US" w:eastAsia="zh-CN"/>
              </w:rPr>
              <w:t>已采样，报告未出</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宋体" w:hAnsi="宋体" w:eastAsia="宋体" w:cs="宋体"/>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ascii="宋体" w:hAnsi="宋体" w:eastAsia="宋体" w:cs="宋体"/>
                <w:b w:val="0"/>
                <w:bCs w:val="0"/>
                <w:u w:val="single"/>
                <w:lang w:val="en-US" w:eastAsia="zh-CN"/>
              </w:rPr>
              <w:t>WZJ 2020-0258、WZJ 2020-0223</w:t>
            </w:r>
            <w:r>
              <w:rPr>
                <w:rFonts w:hint="eastAsia" w:ascii="宋体" w:hAnsi="宋体" w:eastAsia="宋体" w:cs="宋体"/>
                <w:b w:val="0"/>
                <w:bCs w:val="0"/>
                <w:u w:val="single"/>
              </w:rPr>
              <w:t xml:space="preserve">   </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eastAsia="宋体" w:cs="宋体"/>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cs="Times New Roman"/>
                <w:highlight w:val="none"/>
                <w:u w:val="single"/>
                <w:lang w:eastAsia="zh-CN"/>
              </w:rPr>
              <w:t>2021年6月8日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ascii="宋体" w:hAnsi="宋体" w:cs="宋体"/>
                <w:color w:val="auto"/>
                <w:szCs w:val="21"/>
                <w:u w:val="single"/>
                <w:lang w:eastAsia="zh-CN"/>
              </w:rPr>
              <w:t>2021年7月6日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E264CA"/>
    <w:rsid w:val="0AC34402"/>
    <w:rsid w:val="116E0DBC"/>
    <w:rsid w:val="206F3A9B"/>
    <w:rsid w:val="20716989"/>
    <w:rsid w:val="29E375F5"/>
    <w:rsid w:val="2A141168"/>
    <w:rsid w:val="32F518A0"/>
    <w:rsid w:val="37402126"/>
    <w:rsid w:val="38692540"/>
    <w:rsid w:val="39963C52"/>
    <w:rsid w:val="45A33067"/>
    <w:rsid w:val="47175312"/>
    <w:rsid w:val="534E4C19"/>
    <w:rsid w:val="53980F3D"/>
    <w:rsid w:val="6CCC4649"/>
    <w:rsid w:val="705B6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2021-10-20T06:18:47Z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