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华润雪花啤酒（四川）有限责任公司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绵阳</w:t>
      </w:r>
      <w:r>
        <w:rPr>
          <w:rFonts w:hint="eastAsia"/>
          <w:b/>
          <w:sz w:val="36"/>
          <w:szCs w:val="36"/>
          <w:u w:val="single"/>
          <w:lang w:eastAsia="zh-CN"/>
        </w:rPr>
        <w:t>分公司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雪花啤酒的生产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华润雪花啤酒（四川）有限责任公司绵阳分公司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2021年10月20日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7FE183F"/>
    <w:rsid w:val="0A617DD6"/>
    <w:rsid w:val="127B40C9"/>
    <w:rsid w:val="2AEC6A93"/>
    <w:rsid w:val="306B31D8"/>
    <w:rsid w:val="311B7D55"/>
    <w:rsid w:val="345E7217"/>
    <w:rsid w:val="34F3669B"/>
    <w:rsid w:val="47F62F01"/>
    <w:rsid w:val="57923DDA"/>
    <w:rsid w:val="5A754802"/>
    <w:rsid w:val="62265C72"/>
    <w:rsid w:val="76C04879"/>
    <w:rsid w:val="775F7DE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2021-10-16T16:15:03Z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E0E7C95ED53547F3891C7EBED22E7EB2</vt:lpwstr>
  </property>
</Properties>
</file>