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0420-2019-QEO-2021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全椒县金台数控机床制造有限公司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全椒县金台数控机床制造有限公司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滁州市全椒县十谭产业园创业大道</w:t>
            </w:r>
            <w:bookmarkEnd w:id="6"/>
          </w:p>
        </w:tc>
        <w:tc>
          <w:tcPr>
            <w:tcW w:w="1242" w:type="dxa"/>
            <w:vMerge w:val="restart"/>
            <w:vAlign w:val="center"/>
          </w:tcPr>
          <w:p>
            <w:r>
              <w:rPr>
                <w:rFonts w:hint="eastAsia"/>
              </w:rPr>
              <w:t>邮编</w:t>
            </w:r>
          </w:p>
        </w:tc>
        <w:tc>
          <w:tcPr>
            <w:tcW w:w="1771" w:type="dxa"/>
          </w:tcPr>
          <w:p>
            <w:bookmarkStart w:id="7" w:name="注册邮编"/>
            <w:r>
              <w:t>239000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滁州市全椒县十谭产业园创业大道滨水路108号</w:t>
            </w:r>
            <w:bookmarkEnd w:id="8"/>
          </w:p>
        </w:tc>
        <w:tc>
          <w:tcPr>
            <w:tcW w:w="1242" w:type="dxa"/>
            <w:vMerge w:val="continue"/>
            <w:vAlign w:val="center"/>
          </w:tcPr>
          <w:p/>
        </w:tc>
        <w:tc>
          <w:tcPr>
            <w:tcW w:w="1771" w:type="dxa"/>
          </w:tcPr>
          <w:p>
            <w:bookmarkStart w:id="9" w:name="办公邮编"/>
            <w: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盛文燕</w:t>
            </w:r>
            <w:bookmarkEnd w:id="10"/>
          </w:p>
        </w:tc>
        <w:tc>
          <w:tcPr>
            <w:tcW w:w="1313" w:type="dxa"/>
            <w:vAlign w:val="center"/>
          </w:tcPr>
          <w:p>
            <w:r>
              <w:rPr>
                <w:rFonts w:hint="eastAsia"/>
              </w:rPr>
              <w:t>电话.</w:t>
            </w:r>
          </w:p>
        </w:tc>
        <w:tc>
          <w:tcPr>
            <w:tcW w:w="2180" w:type="dxa"/>
            <w:vAlign w:val="center"/>
          </w:tcPr>
          <w:p>
            <w:bookmarkStart w:id="11" w:name="联系人电话"/>
            <w:r>
              <w:t>0550-5190555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陈辉</w:t>
            </w:r>
            <w:bookmarkEnd w:id="13"/>
          </w:p>
        </w:tc>
        <w:tc>
          <w:tcPr>
            <w:tcW w:w="1313" w:type="dxa"/>
            <w:vAlign w:val="center"/>
          </w:tcPr>
          <w:p>
            <w:r>
              <w:rPr>
                <w:rFonts w:hint="eastAsia"/>
              </w:rPr>
              <w:t>管理者代表</w:t>
            </w:r>
          </w:p>
        </w:tc>
        <w:tc>
          <w:tcPr>
            <w:tcW w:w="2180" w:type="dxa"/>
          </w:tcPr>
          <w:p>
            <w:bookmarkStart w:id="14" w:name="管理者代表"/>
            <w:r>
              <w:t>盛文燕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8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配件采购→机床外罩组装→机械部分组装→电器控制组装→调试→包装</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2021年10月16日 上午至2021年10月17日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Q：数控机床的生产</w:t>
            </w:r>
          </w:p>
          <w:p>
            <w:r>
              <w:t>E：数控机床的生产及所涉及场所的相关环境管理活动</w:t>
            </w:r>
          </w:p>
          <w:p>
            <w:r>
              <w:t>O：数控机床的生产及所涉及场所的相关职业健康安全管理活动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Q：18.04.02</w:t>
            </w:r>
          </w:p>
          <w:p>
            <w:r>
              <w:t>E：18.04.02</w:t>
            </w:r>
          </w:p>
          <w:p>
            <w:r>
              <w:t>O：18.04.02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2020年01月0</w:t>
            </w:r>
            <w:r>
              <w:t>2</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val="en-US" w:eastAsia="zh-CN"/>
              </w:rPr>
            </w:pPr>
            <w:r>
              <w:rPr>
                <w:rFonts w:hint="eastAsia"/>
              </w:rPr>
              <w:t>2020年10</w:t>
            </w:r>
            <w:r>
              <w:rPr>
                <w:rFonts w:hint="eastAsia"/>
                <w:lang w:val="en-US" w:eastAsia="zh-CN"/>
              </w:rPr>
              <w:t>月</w:t>
            </w:r>
            <w:r>
              <w:rPr>
                <w:rFonts w:hint="eastAsia"/>
              </w:rPr>
              <w:t>22</w:t>
            </w:r>
            <w:r>
              <w:rPr>
                <w:rFonts w:hint="eastAsia"/>
                <w:lang w:val="en-US" w:eastAsia="zh-C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全椒县金台数控机床制造有限公司</w:t>
            </w:r>
          </w:p>
          <w:p>
            <w:pPr>
              <w:pStyle w:val="2"/>
              <w:rPr>
                <w:lang w:val="de-DE" w:eastAsia="ja-JP"/>
              </w:rPr>
            </w:pPr>
            <w:r>
              <w:rPr>
                <w:rFonts w:asciiTheme="minorEastAsia" w:hAnsiTheme="minorEastAsia" w:eastAsiaTheme="minorEastAsia"/>
                <w:sz w:val="20"/>
              </w:rPr>
              <w:t>滁州市全椒县十谭产业园创业大道</w:t>
            </w:r>
          </w:p>
        </w:tc>
        <w:tc>
          <w:tcPr>
            <w:tcW w:w="2267" w:type="dxa"/>
          </w:tcPr>
          <w:p>
            <w:pPr>
              <w:rPr>
                <w:lang w:val="de-DE" w:eastAsia="ja-JP"/>
              </w:rPr>
            </w:pPr>
            <w:bookmarkStart w:id="31" w:name="办公地址"/>
            <w:r>
              <w:rPr>
                <w:rFonts w:asciiTheme="minorEastAsia" w:hAnsiTheme="minorEastAsia" w:eastAsiaTheme="minorEastAsia"/>
                <w:sz w:val="20"/>
              </w:rPr>
              <w:t>滁州市全椒县十谭产业园创业大道滨水路108号</w:t>
            </w:r>
            <w:bookmarkEnd w:id="31"/>
          </w:p>
        </w:tc>
        <w:tc>
          <w:tcPr>
            <w:tcW w:w="571" w:type="dxa"/>
            <w:vAlign w:val="center"/>
          </w:tcPr>
          <w:p>
            <w:pPr>
              <w:rPr>
                <w:rFonts w:hint="default" w:eastAsia="宋体"/>
                <w:lang w:val="en-US" w:eastAsia="zh-CN"/>
              </w:rPr>
            </w:pPr>
            <w:r>
              <w:rPr>
                <w:rFonts w:hint="eastAsia"/>
                <w:lang w:val="en-US" w:eastAsia="zh-CN"/>
              </w:rPr>
              <w:t>35</w:t>
            </w:r>
          </w:p>
        </w:tc>
        <w:tc>
          <w:tcPr>
            <w:tcW w:w="2803" w:type="dxa"/>
            <w:vAlign w:val="center"/>
          </w:tcPr>
          <w:p>
            <w:pPr>
              <w:rPr>
                <w:sz w:val="20"/>
              </w:rPr>
            </w:pPr>
            <w:r>
              <w:rPr>
                <w:sz w:val="20"/>
              </w:rPr>
              <w:t>Q：数控机床的生产</w:t>
            </w:r>
          </w:p>
          <w:p>
            <w:pPr>
              <w:rPr>
                <w:sz w:val="20"/>
              </w:rPr>
            </w:pPr>
            <w:r>
              <w:rPr>
                <w:sz w:val="20"/>
              </w:rPr>
              <w:t>E：数控机床的生产及所涉及场所的相关环境管理活动</w:t>
            </w:r>
          </w:p>
          <w:p>
            <w:pPr>
              <w:rPr>
                <w:lang w:eastAsia="ja-JP"/>
              </w:rPr>
            </w:pPr>
            <w:r>
              <w:rPr>
                <w:sz w:val="20"/>
              </w:rPr>
              <w:t>O：数控机床的生产及所涉及场所的相关职业健康安全管理活动</w:t>
            </w:r>
          </w:p>
        </w:tc>
        <w:tc>
          <w:tcPr>
            <w:tcW w:w="669" w:type="dxa"/>
            <w:vAlign w:val="center"/>
          </w:tcPr>
          <w:p>
            <w:pPr>
              <w:rPr>
                <w:lang w:eastAsia="ja-JP"/>
              </w:rPr>
            </w:pPr>
            <w:r>
              <w:rPr>
                <w:rFonts w:hint="eastAsia" w:ascii="宋体" w:hAnsi="宋体"/>
                <w:b/>
                <w:sz w:val="21"/>
                <w:szCs w:val="21"/>
              </w:rPr>
              <w:t>GB/T19001-2016GB/T24001-2016/GB/T45001-2020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Q:18.04.02</w:t>
            </w:r>
          </w:p>
          <w:p>
            <w:r>
              <w:t>E:18.04.02</w:t>
            </w:r>
          </w:p>
          <w:p>
            <w:r>
              <w:t>O:18.04.02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上次不符合2项“安全阀过期”、“法规未及时更新”——现场检查2项不符合均已整改完成、未见不符合的再次发生、不符合关闭；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关注顾客、全员参与、依法管理、预防为主、节能减排、降耗增效， 保员工健康、保生产安全、走可持续发展道路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4413"/>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4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rPr>
                    <w:t>客户对产品质量标准提高，材料要求环保材料，以及对供应周期和售后服务的期望值提升，给公司材料采购、生产、质量和售后管理提出新的要求</w:t>
                  </w:r>
                </w:p>
              </w:tc>
              <w:tc>
                <w:tcPr>
                  <w:tcW w:w="4413" w:type="dxa"/>
                </w:tcPr>
                <w:p>
                  <w:pPr>
                    <w:keepNext w:val="0"/>
                    <w:keepLines w:val="0"/>
                    <w:widowControl w:val="0"/>
                    <w:numPr>
                      <w:ilvl w:val="0"/>
                      <w:numId w:val="2"/>
                    </w:numPr>
                    <w:suppressLineNumbers w:val="0"/>
                    <w:spacing w:before="0" w:beforeAutospacing="0" w:after="0" w:afterAutospacing="0"/>
                    <w:ind w:left="0" w:right="0"/>
                    <w:jc w:val="both"/>
                    <w:rPr>
                      <w:rFonts w:hint="eastAsia"/>
                      <w:lang w:val="en-US" w:eastAsia="zh-CN"/>
                    </w:rPr>
                  </w:pPr>
                  <w:r>
                    <w:rPr>
                      <w:rFonts w:hint="eastAsia"/>
                    </w:rPr>
                    <w:t>加强与客户进行质量标准制定的沟通，统一双方的标准和检测方法</w:t>
                  </w:r>
                </w:p>
                <w:p>
                  <w:pPr>
                    <w:keepNext w:val="0"/>
                    <w:keepLines w:val="0"/>
                    <w:widowControl w:val="0"/>
                    <w:numPr>
                      <w:ilvl w:val="0"/>
                      <w:numId w:val="2"/>
                    </w:numPr>
                    <w:suppressLineNumbers w:val="0"/>
                    <w:spacing w:before="0" w:beforeAutospacing="0" w:after="0" w:afterAutospacing="0"/>
                    <w:ind w:left="0" w:leftChars="0" w:right="0" w:rightChars="0" w:firstLine="0" w:firstLineChars="0"/>
                    <w:jc w:val="both"/>
                    <w:rPr>
                      <w:rFonts w:hint="eastAsia"/>
                    </w:rPr>
                  </w:pPr>
                  <w:r>
                    <w:rPr>
                      <w:rFonts w:hint="eastAsia"/>
                    </w:rPr>
                    <w:t>做好采购计划的安排，保证服务的有效性</w:t>
                  </w:r>
                </w:p>
                <w:p>
                  <w:pPr>
                    <w:pStyle w:val="2"/>
                    <w:numPr>
                      <w:ilvl w:val="0"/>
                      <w:numId w:val="0"/>
                    </w:numPr>
                    <w:ind w:leftChars="0"/>
                    <w:rPr>
                      <w:rFonts w:hint="eastAsia"/>
                      <w:lang w:val="en-US" w:eastAsia="zh-CN"/>
                    </w:rPr>
                  </w:pPr>
                  <w:r>
                    <w:t>3</w:t>
                  </w:r>
                  <w:r>
                    <w:rPr>
                      <w:rFonts w:hint="eastAsia"/>
                    </w:rPr>
                    <w:t>加大客户交流沟通，及时处理客户的需求和意见</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rPr>
                    <w:t>原材料市场不稳定，希望签订的年度合同和保底价格，带来的采购和资金风险</w:t>
                  </w:r>
                </w:p>
              </w:tc>
              <w:tc>
                <w:tcPr>
                  <w:tcW w:w="4413"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rPr>
                    <w:t>对公司影响较大的大宗原材料做好年度采购计划</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2813"/>
              <w:gridCol w:w="137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2813"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lang w:eastAsia="zh-CN"/>
                    </w:rPr>
                  </w:pPr>
                  <w:r>
                    <w:rPr>
                      <w:rFonts w:hint="eastAsia" w:ascii="宋体" w:hAnsi="宋体" w:cs="宋体"/>
                      <w:bCs/>
                      <w:color w:val="000000"/>
                      <w:szCs w:val="21"/>
                    </w:rPr>
                    <w:t>产品出厂合格率100％</w:t>
                  </w:r>
                </w:p>
              </w:tc>
              <w:tc>
                <w:tcPr>
                  <w:tcW w:w="2813" w:type="dxa"/>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cs="宋体"/>
                      <w:bCs/>
                      <w:color w:val="000000"/>
                      <w:szCs w:val="21"/>
                    </w:rPr>
                    <w:t>出厂检验合格数量/出厂检验数量*</w:t>
                  </w:r>
                  <w:r>
                    <w:rPr>
                      <w:rFonts w:ascii="宋体" w:hAnsi="宋体" w:cs="宋体"/>
                      <w:bCs/>
                      <w:color w:val="000000"/>
                      <w:szCs w:val="21"/>
                    </w:rPr>
                    <w:t>100</w:t>
                  </w:r>
                  <w:r>
                    <w:rPr>
                      <w:rFonts w:hint="eastAsia" w:ascii="宋体" w:hAnsi="宋体" w:cs="宋体"/>
                      <w:bCs/>
                      <w:color w:val="000000"/>
                      <w:szCs w:val="21"/>
                    </w:rPr>
                    <w:t>%。</w:t>
                  </w:r>
                  <w:r>
                    <w:rPr>
                      <w:rFonts w:ascii="宋体" w:hAnsi="宋体" w:cs="宋体"/>
                      <w:bCs/>
                      <w:color w:val="000000"/>
                      <w:szCs w:val="21"/>
                    </w:rPr>
                    <w:t xml:space="preserve"> </w:t>
                  </w:r>
                </w:p>
              </w:tc>
              <w:tc>
                <w:tcPr>
                  <w:tcW w:w="1378" w:type="dxa"/>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cs="宋体"/>
                      <w:bCs/>
                      <w:color w:val="000000"/>
                      <w:szCs w:val="21"/>
                    </w:rPr>
                    <w:t>技术质量部</w:t>
                  </w:r>
                  <w:r>
                    <w:rPr>
                      <w:rFonts w:ascii="宋体" w:hAnsi="宋体" w:cs="宋体"/>
                      <w:bCs/>
                      <w:color w:val="000000"/>
                      <w:szCs w:val="21"/>
                    </w:rPr>
                    <w:t xml:space="preserve"> </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rPr>
                  </w:pPr>
                  <w:r>
                    <w:rPr>
                      <w:rFonts w:hint="eastAsia" w:ascii="宋体" w:hAnsi="宋体" w:cs="宋体"/>
                      <w:bCs/>
                      <w:color w:val="000000"/>
                      <w:szCs w:val="21"/>
                    </w:rPr>
                    <w:t xml:space="preserve">来料检验合格率≥95% </w:t>
                  </w:r>
                </w:p>
              </w:tc>
              <w:tc>
                <w:tcPr>
                  <w:tcW w:w="2813"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cs="宋体"/>
                      <w:bCs/>
                      <w:color w:val="000000"/>
                      <w:szCs w:val="21"/>
                    </w:rPr>
                    <w:t>采购材料合格批次/采购材料批次*</w:t>
                  </w:r>
                  <w:r>
                    <w:rPr>
                      <w:rFonts w:ascii="宋体" w:hAnsi="宋体" w:cs="宋体"/>
                      <w:bCs/>
                      <w:color w:val="000000"/>
                      <w:szCs w:val="21"/>
                    </w:rPr>
                    <w:t>100</w:t>
                  </w:r>
                  <w:r>
                    <w:rPr>
                      <w:rFonts w:hint="eastAsia" w:ascii="宋体" w:hAnsi="宋体" w:cs="宋体"/>
                      <w:bCs/>
                      <w:color w:val="000000"/>
                      <w:szCs w:val="21"/>
                    </w:rPr>
                    <w:t>%</w:t>
                  </w:r>
                </w:p>
              </w:tc>
              <w:tc>
                <w:tcPr>
                  <w:tcW w:w="1378"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cs="宋体"/>
                      <w:bCs/>
                      <w:color w:val="000000"/>
                      <w:szCs w:val="21"/>
                    </w:rPr>
                    <w:t>技术质量部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rPr>
                  </w:pPr>
                  <w:r>
                    <w:rPr>
                      <w:rFonts w:hint="eastAsia" w:ascii="宋体" w:hAnsi="宋体" w:cs="宋体"/>
                      <w:bCs/>
                      <w:color w:val="000000"/>
                      <w:szCs w:val="21"/>
                    </w:rPr>
                    <w:t xml:space="preserve">调试一次合格率100% </w:t>
                  </w:r>
                </w:p>
              </w:tc>
              <w:tc>
                <w:tcPr>
                  <w:tcW w:w="2813"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cs="宋体"/>
                      <w:bCs/>
                      <w:color w:val="000000"/>
                      <w:szCs w:val="21"/>
                    </w:rPr>
                    <w:t>调试合格次数/调试次格*</w:t>
                  </w:r>
                  <w:r>
                    <w:rPr>
                      <w:rFonts w:ascii="宋体" w:hAnsi="宋体" w:cs="宋体"/>
                      <w:bCs/>
                      <w:color w:val="000000"/>
                      <w:szCs w:val="21"/>
                    </w:rPr>
                    <w:t>100</w:t>
                  </w:r>
                  <w:r>
                    <w:rPr>
                      <w:rFonts w:hint="eastAsia" w:ascii="宋体" w:hAnsi="宋体" w:cs="宋体"/>
                      <w:bCs/>
                      <w:color w:val="000000"/>
                      <w:szCs w:val="21"/>
                    </w:rPr>
                    <w:t>%</w:t>
                  </w:r>
                </w:p>
              </w:tc>
              <w:tc>
                <w:tcPr>
                  <w:tcW w:w="1378"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cs="宋体"/>
                      <w:bCs/>
                      <w:color w:val="000000"/>
                      <w:szCs w:val="21"/>
                    </w:rPr>
                    <w:t>生产部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lang w:eastAsia="zh-CN"/>
                    </w:rPr>
                  </w:pPr>
                  <w:r>
                    <w:rPr>
                      <w:rFonts w:hint="eastAsia" w:ascii="宋体" w:hAnsi="宋体" w:cs="宋体"/>
                      <w:bCs/>
                      <w:color w:val="000000"/>
                      <w:szCs w:val="21"/>
                    </w:rPr>
                    <w:t>顾客满意度≥</w:t>
                  </w:r>
                  <w:r>
                    <w:rPr>
                      <w:rFonts w:ascii="宋体" w:hAnsi="宋体" w:cs="宋体"/>
                      <w:bCs/>
                      <w:color w:val="000000"/>
                      <w:szCs w:val="21"/>
                    </w:rPr>
                    <w:t xml:space="preserve">95% </w:t>
                  </w:r>
                </w:p>
              </w:tc>
              <w:tc>
                <w:tcPr>
                  <w:tcW w:w="2813"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bCs/>
                      <w:color w:val="000000"/>
                      <w:szCs w:val="21"/>
                    </w:rPr>
                    <w:t>每年由销售部调查后得出统计结论</w:t>
                  </w:r>
                  <w:r>
                    <w:rPr>
                      <w:rFonts w:ascii="宋体" w:hAnsi="宋体" w:cs="宋体"/>
                      <w:bCs/>
                      <w:color w:val="000000"/>
                      <w:szCs w:val="21"/>
                    </w:rPr>
                    <w:t xml:space="preserve"> </w:t>
                  </w:r>
                </w:p>
              </w:tc>
              <w:tc>
                <w:tcPr>
                  <w:tcW w:w="1378" w:type="dxa"/>
                  <w:shd w:val="clear" w:color="auto" w:fill="auto"/>
                  <w:vAlign w:val="center"/>
                </w:tcPr>
                <w:p>
                  <w:pPr>
                    <w:jc w:val="center"/>
                    <w:rPr>
                      <w:rFonts w:hint="eastAsia" w:ascii="宋体" w:hAnsi="宋体" w:cs="Times New Roman"/>
                      <w:kern w:val="2"/>
                      <w:sz w:val="21"/>
                      <w:szCs w:val="24"/>
                      <w:lang w:val="en-US" w:eastAsia="zh-CN" w:bidi="ar-SA"/>
                    </w:rPr>
                  </w:pPr>
                  <w:r>
                    <w:rPr>
                      <w:rFonts w:hint="eastAsia" w:ascii="宋体" w:hAnsi="宋体" w:cs="宋体"/>
                      <w:bCs/>
                      <w:color w:val="000000"/>
                      <w:szCs w:val="21"/>
                    </w:rPr>
                    <w:t>销售部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lang w:eastAsia="zh-CN"/>
                    </w:rPr>
                  </w:pPr>
                  <w:r>
                    <w:rPr>
                      <w:rFonts w:hint="eastAsia" w:ascii="宋体" w:hAnsi="宋体" w:cs="宋体"/>
                      <w:bCs/>
                      <w:color w:val="000000"/>
                      <w:szCs w:val="21"/>
                    </w:rPr>
                    <w:t>人员受训率达到≥95</w:t>
                  </w:r>
                  <w:r>
                    <w:rPr>
                      <w:rFonts w:ascii="宋体" w:hAnsi="宋体" w:cs="宋体"/>
                      <w:bCs/>
                      <w:color w:val="000000"/>
                      <w:szCs w:val="21"/>
                    </w:rPr>
                    <w:t xml:space="preserve">% </w:t>
                  </w:r>
                </w:p>
              </w:tc>
              <w:tc>
                <w:tcPr>
                  <w:tcW w:w="2813"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bCs/>
                      <w:color w:val="000000"/>
                      <w:szCs w:val="21"/>
                    </w:rPr>
                    <w:t>每年由管理部统计</w:t>
                  </w:r>
                  <w:r>
                    <w:rPr>
                      <w:rFonts w:ascii="宋体" w:hAnsi="宋体" w:cs="宋体"/>
                      <w:bCs/>
                      <w:color w:val="000000"/>
                      <w:szCs w:val="21"/>
                    </w:rPr>
                    <w:t xml:space="preserve"> </w:t>
                  </w:r>
                </w:p>
              </w:tc>
              <w:tc>
                <w:tcPr>
                  <w:tcW w:w="1378" w:type="dxa"/>
                  <w:shd w:val="clear" w:color="auto" w:fill="auto"/>
                  <w:vAlign w:val="center"/>
                </w:tcPr>
                <w:p>
                  <w:pPr>
                    <w:jc w:val="center"/>
                    <w:rPr>
                      <w:rFonts w:hint="eastAsia" w:ascii="宋体" w:hAnsi="宋体" w:cs="Times New Roman"/>
                      <w:kern w:val="2"/>
                      <w:sz w:val="21"/>
                      <w:szCs w:val="24"/>
                      <w:lang w:val="en-US" w:eastAsia="zh-CN" w:bidi="ar-SA"/>
                    </w:rPr>
                  </w:pPr>
                  <w:r>
                    <w:rPr>
                      <w:rFonts w:hint="eastAsia" w:ascii="宋体" w:hAnsi="宋体" w:cs="宋体"/>
                      <w:bCs/>
                      <w:color w:val="000000"/>
                      <w:szCs w:val="21"/>
                    </w:rPr>
                    <w:t>管理部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lang w:eastAsia="zh-CN"/>
                    </w:rPr>
                  </w:pPr>
                  <w:r>
                    <w:rPr>
                      <w:rFonts w:hint="eastAsia" w:ascii="宋体" w:hAnsi="宋体" w:cs="宋体"/>
                      <w:bCs/>
                      <w:color w:val="000000"/>
                      <w:szCs w:val="21"/>
                    </w:rPr>
                    <w:t>采购准时率≥95%</w:t>
                  </w:r>
                </w:p>
              </w:tc>
              <w:tc>
                <w:tcPr>
                  <w:tcW w:w="2813"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bCs/>
                      <w:color w:val="000000"/>
                      <w:szCs w:val="21"/>
                    </w:rPr>
                    <w:t>采购订单准时交付次数/采购订单数*</w:t>
                  </w:r>
                  <w:r>
                    <w:rPr>
                      <w:rFonts w:ascii="宋体" w:hAnsi="宋体" w:cs="宋体"/>
                      <w:bCs/>
                      <w:color w:val="000000"/>
                      <w:szCs w:val="21"/>
                    </w:rPr>
                    <w:t>100</w:t>
                  </w:r>
                  <w:r>
                    <w:rPr>
                      <w:rFonts w:hint="eastAsia" w:ascii="宋体" w:hAnsi="宋体" w:cs="宋体"/>
                      <w:bCs/>
                      <w:color w:val="000000"/>
                      <w:szCs w:val="21"/>
                    </w:rPr>
                    <w:t>%</w:t>
                  </w:r>
                </w:p>
              </w:tc>
              <w:tc>
                <w:tcPr>
                  <w:tcW w:w="1378" w:type="dxa"/>
                  <w:shd w:val="clear" w:color="auto" w:fill="auto"/>
                  <w:vAlign w:val="center"/>
                </w:tcPr>
                <w:p>
                  <w:pPr>
                    <w:jc w:val="center"/>
                    <w:rPr>
                      <w:rFonts w:hint="eastAsia" w:ascii="宋体" w:hAnsi="宋体" w:cs="Times New Roman"/>
                      <w:kern w:val="2"/>
                      <w:sz w:val="21"/>
                      <w:szCs w:val="24"/>
                      <w:lang w:val="en-US" w:eastAsia="zh-CN" w:bidi="ar-SA"/>
                    </w:rPr>
                  </w:pPr>
                  <w:r>
                    <w:rPr>
                      <w:rFonts w:hint="eastAsia" w:ascii="宋体" w:hAnsi="宋体" w:cs="宋体"/>
                      <w:bCs/>
                      <w:color w:val="000000"/>
                      <w:szCs w:val="21"/>
                    </w:rPr>
                    <w:t>采购部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lang w:val="en-US" w:eastAsia="zh-CN"/>
                    </w:rPr>
                  </w:pPr>
                  <w:r>
                    <w:rPr>
                      <w:rFonts w:hint="eastAsia" w:ascii="宋体" w:hAnsi="宋体"/>
                      <w:lang w:val="en-US" w:eastAsia="zh-CN"/>
                    </w:rPr>
                    <w:t>已完成</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 xml:space="preserve">  </w:t>
            </w:r>
            <w:r>
              <w:rPr>
                <w:rFonts w:hint="eastAsia"/>
                <w:u w:val="single"/>
                <w:lang w:eastAsia="zh-CN"/>
              </w:rPr>
              <w:t>锁管机、吸尘器、气液分离器、起重机</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FE"/>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w:t>
            </w:r>
            <w:r>
              <w:rPr>
                <w:rFonts w:hint="eastAsia"/>
                <w:color w:val="000000" w:themeColor="text1"/>
                <w:u w:val="single"/>
              </w:rPr>
              <w:t xml:space="preserve">  </w:t>
            </w:r>
            <w:r>
              <w:rPr>
                <w:rFonts w:hint="eastAsia"/>
                <w:color w:val="000000" w:themeColor="text1"/>
                <w:u w:val="single"/>
                <w:lang w:eastAsia="zh-CN"/>
              </w:rPr>
              <w:t>千分表、角度尺、</w:t>
            </w:r>
            <w:r>
              <w:rPr>
                <w:rFonts w:hint="eastAsia"/>
                <w:color w:val="000000" w:themeColor="text1"/>
                <w:u w:val="single"/>
                <w:lang w:val="en-US" w:eastAsia="zh-CN"/>
              </w:rPr>
              <w:t xml:space="preserve"> 深度尺</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rPr>
                  </w:pPr>
                  <w:r>
                    <w:rPr>
                      <w:sz w:val="20"/>
                    </w:rPr>
                    <w:t>数控机床的生产</w:t>
                  </w:r>
                </w:p>
              </w:tc>
              <w:tc>
                <w:tcPr>
                  <w:tcW w:w="3665" w:type="dxa"/>
                </w:tcPr>
                <w:p>
                  <w:pPr>
                    <w:keepNext w:val="0"/>
                    <w:keepLines w:val="0"/>
                    <w:suppressLineNumbers w:val="0"/>
                    <w:spacing w:before="0" w:beforeAutospacing="0" w:after="0" w:afterAutospacing="0"/>
                    <w:ind w:left="0" w:right="0"/>
                    <w:jc w:val="left"/>
                    <w:rPr>
                      <w:rFonts w:hint="eastAsia" w:eastAsia="宋体"/>
                      <w:lang w:val="en-US" w:eastAsia="zh-CN"/>
                    </w:rPr>
                  </w:pPr>
                  <w:r>
                    <w:rPr>
                      <w:rFonts w:hint="eastAsia" w:ascii="楷体" w:hAnsi="楷体" w:eastAsia="楷体" w:cs="楷体"/>
                      <w:color w:val="auto"/>
                      <w:sz w:val="21"/>
                      <w:szCs w:val="21"/>
                      <w:lang w:val="en-US" w:eastAsia="zh-CN"/>
                    </w:rPr>
                    <w:t>调试</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作业规程、检测记录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 xml:space="preserve"> 2021年7月9日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2021年7月29日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rPr>
                    <w:sym w:font="Wingdings 2" w:char="0052"/>
                  </w:r>
                  <w:r>
                    <w:rPr>
                      <w:rFonts w:hint="eastAsia"/>
                      <w:highlight w:val="none"/>
                      <w:lang w:val="en-US" w:eastAsia="zh-CN"/>
                    </w:rPr>
                    <w:t>遵守检验检测相关的法律法规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组织的持续经营、明示采购要求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产品/服务质量持续满足要求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良好的使用感受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组织的持续经营、自我发展</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07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52"/>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关注顾客、全员参与、依法管理、预防为主、节能减排、降耗增效， 保员工健康、保生产安全、走可持续发展道路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管理部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8"/>
              <w:gridCol w:w="4413"/>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4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rPr>
                    <w:t>客户对产品质量标准提高，材料要求环保材料，以及对供应周期和售后服务的期望值提升，给公司材料采购、生产、质量和售后管理提出新的要求</w:t>
                  </w:r>
                </w:p>
              </w:tc>
              <w:tc>
                <w:tcPr>
                  <w:tcW w:w="4413" w:type="dxa"/>
                </w:tcPr>
                <w:p>
                  <w:pPr>
                    <w:keepNext w:val="0"/>
                    <w:keepLines w:val="0"/>
                    <w:widowControl w:val="0"/>
                    <w:numPr>
                      <w:ilvl w:val="0"/>
                      <w:numId w:val="2"/>
                    </w:numPr>
                    <w:suppressLineNumbers w:val="0"/>
                    <w:spacing w:before="0" w:beforeAutospacing="0" w:after="0" w:afterAutospacing="0"/>
                    <w:ind w:left="0" w:right="0"/>
                    <w:jc w:val="both"/>
                    <w:rPr>
                      <w:rFonts w:hint="eastAsia"/>
                      <w:lang w:val="en-US" w:eastAsia="zh-CN"/>
                    </w:rPr>
                  </w:pPr>
                  <w:r>
                    <w:rPr>
                      <w:rFonts w:hint="eastAsia"/>
                    </w:rPr>
                    <w:t>加强与客户进行质量标准制定的沟通，统一双方的标准和检测方法</w:t>
                  </w:r>
                </w:p>
                <w:p>
                  <w:pPr>
                    <w:keepNext w:val="0"/>
                    <w:keepLines w:val="0"/>
                    <w:widowControl w:val="0"/>
                    <w:numPr>
                      <w:ilvl w:val="0"/>
                      <w:numId w:val="2"/>
                    </w:numPr>
                    <w:suppressLineNumbers w:val="0"/>
                    <w:spacing w:before="0" w:beforeAutospacing="0" w:after="0" w:afterAutospacing="0"/>
                    <w:ind w:left="0" w:leftChars="0" w:right="0" w:rightChars="0" w:firstLine="0" w:firstLineChars="0"/>
                    <w:jc w:val="both"/>
                    <w:rPr>
                      <w:rFonts w:hint="eastAsia"/>
                    </w:rPr>
                  </w:pPr>
                  <w:r>
                    <w:rPr>
                      <w:rFonts w:hint="eastAsia"/>
                    </w:rPr>
                    <w:t>做好采购计划的安排，保证服务的有效性</w:t>
                  </w:r>
                </w:p>
                <w:p>
                  <w:pPr>
                    <w:pStyle w:val="2"/>
                    <w:numPr>
                      <w:ilvl w:val="0"/>
                      <w:numId w:val="0"/>
                    </w:numPr>
                    <w:ind w:leftChars="0"/>
                    <w:rPr>
                      <w:rFonts w:hint="eastAsia"/>
                      <w:lang w:val="en-US" w:eastAsia="zh-CN"/>
                    </w:rPr>
                  </w:pPr>
                  <w:r>
                    <w:t>3</w:t>
                  </w:r>
                  <w:r>
                    <w:rPr>
                      <w:rFonts w:hint="eastAsia"/>
                    </w:rPr>
                    <w:t>加大客户交流沟通，及时处理客户的需求和意见</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rPr>
                    <w:t>原材料市场不稳定，希望签订的年度合同和保底价格，带来的采购和资金风险</w:t>
                  </w:r>
                </w:p>
              </w:tc>
              <w:tc>
                <w:tcPr>
                  <w:tcW w:w="4413"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rPr>
                    <w:t>对公司影响较大的大宗原材料做好年度采购计划</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w:t>
            </w:r>
            <w:r>
              <w:rPr>
                <w:rFonts w:hint="eastAsia"/>
                <w:lang w:val="en-US" w:eastAsia="zh-CN"/>
              </w:rPr>
              <w:t>固废排放</w:t>
            </w:r>
            <w:r>
              <w:rPr>
                <w:rFonts w:hint="eastAsia"/>
              </w:rPr>
              <w:t xml:space="preserve"> ☑废水排放  □废气排放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lang w:eastAsia="zh-CN"/>
              </w:rPr>
              <w:sym w:font="Wingdings 2" w:char="0052"/>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环境影响登记表日期：</w:t>
            </w:r>
            <w:r>
              <w:rPr>
                <w:rFonts w:hint="eastAsia"/>
                <w:lang w:val="en-US" w:eastAsia="zh-CN"/>
              </w:rPr>
              <w:t>2016年10月</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rPr>
            </w:pPr>
            <w:r>
              <w:rPr>
                <w:rFonts w:hint="eastAsia"/>
                <w:color w:val="000000"/>
                <w:szCs w:val="18"/>
                <w:lang w:val="en-US" w:eastAsia="zh-CN"/>
              </w:rPr>
              <w:t>环境影响报告表</w:t>
            </w:r>
            <w:r>
              <w:rPr>
                <w:rFonts w:hint="eastAsia"/>
                <w:color w:val="000000"/>
                <w:lang w:val="en-US" w:eastAsia="zh-CN"/>
              </w:rPr>
              <w:t>批复编号：全环评【2016】38号</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47"/>
              <w:gridCol w:w="97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环境</w:t>
                  </w:r>
                  <w:r>
                    <w:rPr>
                      <w:rFonts w:hint="eastAsia"/>
                      <w:lang w:eastAsia="zh-CN"/>
                    </w:rPr>
                    <w:t>目标</w:t>
                  </w:r>
                </w:p>
              </w:tc>
              <w:tc>
                <w:tcPr>
                  <w:tcW w:w="3247" w:type="dxa"/>
                  <w:shd w:val="clear" w:color="auto" w:fill="auto"/>
                  <w:vAlign w:val="center"/>
                </w:tcPr>
                <w:p>
                  <w:pPr>
                    <w:jc w:val="center"/>
                    <w:rPr>
                      <w:rFonts w:hint="eastAsia"/>
                      <w:lang w:val="en-US" w:eastAsia="zh-CN"/>
                    </w:rPr>
                  </w:pPr>
                  <w:r>
                    <w:rPr>
                      <w:rFonts w:hint="eastAsia" w:ascii="宋体" w:hAnsi="宋体" w:cs="宋体"/>
                      <w:bCs/>
                      <w:color w:val="000000"/>
                      <w:sz w:val="22"/>
                      <w:szCs w:val="22"/>
                    </w:rPr>
                    <w:t>统计方法</w:t>
                  </w:r>
                </w:p>
              </w:tc>
              <w:tc>
                <w:tcPr>
                  <w:tcW w:w="978"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责任部门</w:t>
                  </w:r>
                </w:p>
              </w:tc>
              <w:tc>
                <w:tcPr>
                  <w:tcW w:w="1537"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目标实际完成（2021-1~9）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689" w:type="dxa"/>
                  <w:shd w:val="clear" w:color="auto" w:fill="auto"/>
                  <w:vAlign w:val="center"/>
                </w:tcPr>
                <w:p>
                  <w:pPr>
                    <w:rPr>
                      <w:rFonts w:hint="eastAsia" w:eastAsia="宋体"/>
                      <w:lang w:val="en-US" w:eastAsia="zh-CN"/>
                    </w:rPr>
                  </w:pPr>
                  <w:r>
                    <w:rPr>
                      <w:rFonts w:hint="eastAsia" w:ascii="宋体" w:hAnsi="宋体" w:cs="宋体"/>
                      <w:color w:val="000000"/>
                      <w:sz w:val="22"/>
                      <w:szCs w:val="22"/>
                    </w:rPr>
                    <w:t>杜绝环境污染事故</w:t>
                  </w:r>
                  <w:r>
                    <w:rPr>
                      <w:rFonts w:hint="eastAsia" w:ascii="宋体" w:hAnsi="宋体" w:cs="宋体"/>
                      <w:color w:val="000000"/>
                      <w:sz w:val="22"/>
                      <w:szCs w:val="22"/>
                      <w:lang w:val="en-US" w:eastAsia="zh-CN"/>
                    </w:rPr>
                    <w:t>0</w:t>
                  </w:r>
                </w:p>
              </w:tc>
              <w:tc>
                <w:tcPr>
                  <w:tcW w:w="3247" w:type="dxa"/>
                  <w:shd w:val="clear" w:color="auto" w:fill="auto"/>
                  <w:vAlign w:val="center"/>
                </w:tcPr>
                <w:p>
                  <w:pPr>
                    <w:rPr>
                      <w:rFonts w:hint="eastAsia"/>
                      <w:lang w:val="en-GB" w:eastAsia="zh-CN"/>
                    </w:rPr>
                  </w:pPr>
                  <w:r>
                    <w:rPr>
                      <w:rFonts w:hint="eastAsia" w:ascii="宋体" w:hAnsi="宋体" w:cs="宋体"/>
                      <w:color w:val="000000"/>
                      <w:sz w:val="22"/>
                      <w:szCs w:val="22"/>
                    </w:rPr>
                    <w:t>统计环境污染事故次数</w:t>
                  </w:r>
                </w:p>
              </w:tc>
              <w:tc>
                <w:tcPr>
                  <w:tcW w:w="978" w:type="dxa"/>
                  <w:shd w:val="clear" w:color="auto" w:fill="auto"/>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GB"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vAlign w:val="center"/>
                </w:tcPr>
                <w:p>
                  <w:pPr>
                    <w:rPr>
                      <w:rFonts w:hint="eastAsia" w:eastAsia="宋体"/>
                      <w:lang w:val="en-US" w:eastAsia="zh-CN"/>
                    </w:rPr>
                  </w:pPr>
                  <w:r>
                    <w:rPr>
                      <w:rFonts w:hint="eastAsia" w:ascii="宋体" w:hAnsi="宋体" w:cs="宋体"/>
                      <w:color w:val="000000"/>
                      <w:sz w:val="22"/>
                      <w:szCs w:val="22"/>
                    </w:rPr>
                    <w:t>杜绝火灾发生事故</w:t>
                  </w:r>
                  <w:r>
                    <w:rPr>
                      <w:rFonts w:hint="eastAsia" w:ascii="宋体" w:hAnsi="宋体" w:cs="宋体"/>
                      <w:color w:val="000000"/>
                      <w:sz w:val="22"/>
                      <w:szCs w:val="22"/>
                      <w:lang w:val="en-US" w:eastAsia="zh-CN"/>
                    </w:rPr>
                    <w:t>0</w:t>
                  </w:r>
                </w:p>
              </w:tc>
              <w:tc>
                <w:tcPr>
                  <w:tcW w:w="3247" w:type="dxa"/>
                  <w:shd w:val="clear" w:color="auto" w:fill="auto"/>
                  <w:vAlign w:val="center"/>
                </w:tcPr>
                <w:p>
                  <w:pPr>
                    <w:rPr>
                      <w:rFonts w:hint="eastAsia"/>
                      <w:lang w:val="en-US" w:eastAsia="zh-CN"/>
                    </w:rPr>
                  </w:pPr>
                  <w:r>
                    <w:rPr>
                      <w:rFonts w:hint="eastAsia" w:ascii="宋体" w:hAnsi="宋体" w:cs="宋体"/>
                      <w:color w:val="000000"/>
                      <w:sz w:val="22"/>
                      <w:szCs w:val="22"/>
                    </w:rPr>
                    <w:t>统计火灾发生次数</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vAlign w:val="center"/>
                </w:tcPr>
                <w:p>
                  <w:pPr>
                    <w:rPr>
                      <w:rFonts w:hint="eastAsia"/>
                      <w:lang w:val="en-US" w:eastAsia="zh-CN"/>
                    </w:rPr>
                  </w:pPr>
                  <w:r>
                    <w:rPr>
                      <w:rFonts w:hint="eastAsia" w:ascii="宋体" w:hAnsi="宋体" w:cs="宋体"/>
                      <w:color w:val="000000"/>
                      <w:sz w:val="22"/>
                      <w:szCs w:val="22"/>
                    </w:rPr>
                    <w:t>固废分类处理率</w:t>
                  </w:r>
                  <w:r>
                    <w:rPr>
                      <w:rFonts w:hint="eastAsia"/>
                    </w:rPr>
                    <w:t>100%</w:t>
                  </w:r>
                </w:p>
              </w:tc>
              <w:tc>
                <w:tcPr>
                  <w:tcW w:w="3247" w:type="dxa"/>
                  <w:shd w:val="clear" w:color="auto" w:fill="auto"/>
                  <w:vAlign w:val="center"/>
                </w:tcPr>
                <w:p>
                  <w:pPr>
                    <w:jc w:val="center"/>
                    <w:rPr>
                      <w:rFonts w:hint="eastAsia"/>
                      <w:lang w:val="en-US" w:eastAsia="zh-CN"/>
                    </w:rPr>
                  </w:pPr>
                  <w:r>
                    <w:rPr>
                      <w:rFonts w:hint="eastAsia" w:ascii="宋体" w:hAnsi="宋体" w:cs="宋体"/>
                      <w:color w:val="000000"/>
                      <w:sz w:val="22"/>
                      <w:szCs w:val="22"/>
                    </w:rPr>
                    <w:t>固废处理数量/固废总数*</w:t>
                  </w:r>
                  <w:r>
                    <w:rPr>
                      <w:rFonts w:ascii="宋体" w:hAnsi="宋体" w:cs="宋体"/>
                      <w:color w:val="000000"/>
                      <w:sz w:val="22"/>
                      <w:szCs w:val="22"/>
                    </w:rPr>
                    <w:t>100</w:t>
                  </w:r>
                  <w:r>
                    <w:rPr>
                      <w:rFonts w:hint="eastAsia" w:ascii="宋体" w:hAnsi="宋体" w:cs="宋体"/>
                      <w:color w:val="000000"/>
                      <w:sz w:val="22"/>
                      <w:szCs w:val="22"/>
                    </w:rPr>
                    <w:t>%</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已完成</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lang w:eastAsia="zh-CN"/>
              </w:rPr>
              <w:t>锁管机、吸尘器、气液分离器</w:t>
            </w:r>
            <w:r>
              <w:rPr>
                <w:rFonts w:hint="eastAsia"/>
                <w:u w:val="single"/>
              </w:rPr>
              <w:t>（列举2~4种）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FE"/>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rPr>
                    <w:t>电能消耗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噪声</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u w:val="single"/>
                <w:lang w:val="en-US" w:eastAsia="zh-CN"/>
              </w:rPr>
              <w:t>行车，登记证编号：起17皖MMB00059，设备代码：41704137820172711，检验机构：滁州市特种设备监督检验中心，有效期：2022年7月14日，检测报告编号：MQD4170-2014-Q0077</w:t>
            </w:r>
            <w:r>
              <w:rPr>
                <w:rFonts w:hint="eastAsia"/>
                <w:color w:val="auto"/>
                <w:u w:val="single"/>
              </w:rPr>
              <w:t>（</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 xml:space="preserve"> 2021年3月19日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 xml:space="preserve"> 2021年3月28日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FE"/>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lang w:eastAsia="zh-CN"/>
              </w:rPr>
              <w:t xml:space="preserve"> 2021年7月9日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2021年7月29日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2"/>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2"/>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sym w:font="Wingdings 2" w:char="0052"/>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关注顾客、全员参与、依法管理、预防为主、节能减排、降耗增效， 保员工健康、保生产安全、走可持续发展道路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职业健康的主管部门是——管理部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hAnsi="宋体" w:cs="Arial"/>
                <w:u w:val="single"/>
                <w:lang w:val="en-US" w:eastAsia="zh-CN"/>
              </w:rPr>
              <w:t>唐蔚林</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8"/>
              <w:gridCol w:w="4413"/>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4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rPr>
                    <w:t>客户对产品质量标准提高，材料要求环保材料，以及对供应周期和售后服务的期望值提升，给公司材料采购、生产、质量和售后管理提出新的要求</w:t>
                  </w:r>
                </w:p>
              </w:tc>
              <w:tc>
                <w:tcPr>
                  <w:tcW w:w="4413" w:type="dxa"/>
                </w:tcPr>
                <w:p>
                  <w:pPr>
                    <w:keepNext w:val="0"/>
                    <w:keepLines w:val="0"/>
                    <w:widowControl w:val="0"/>
                    <w:numPr>
                      <w:ilvl w:val="0"/>
                      <w:numId w:val="2"/>
                    </w:numPr>
                    <w:suppressLineNumbers w:val="0"/>
                    <w:spacing w:before="0" w:beforeAutospacing="0" w:after="0" w:afterAutospacing="0"/>
                    <w:ind w:left="0" w:right="0"/>
                    <w:jc w:val="both"/>
                    <w:rPr>
                      <w:rFonts w:hint="eastAsia"/>
                      <w:lang w:val="en-US" w:eastAsia="zh-CN"/>
                    </w:rPr>
                  </w:pPr>
                  <w:r>
                    <w:rPr>
                      <w:rFonts w:hint="eastAsia"/>
                    </w:rPr>
                    <w:t>加强与客户进行质量标准制定的沟通，统一双方的标准和检测方法</w:t>
                  </w:r>
                </w:p>
                <w:p>
                  <w:pPr>
                    <w:keepNext w:val="0"/>
                    <w:keepLines w:val="0"/>
                    <w:widowControl w:val="0"/>
                    <w:numPr>
                      <w:ilvl w:val="0"/>
                      <w:numId w:val="2"/>
                    </w:numPr>
                    <w:suppressLineNumbers w:val="0"/>
                    <w:spacing w:before="0" w:beforeAutospacing="0" w:after="0" w:afterAutospacing="0"/>
                    <w:ind w:left="0" w:leftChars="0" w:right="0" w:rightChars="0" w:firstLine="0" w:firstLineChars="0"/>
                    <w:jc w:val="both"/>
                    <w:rPr>
                      <w:rFonts w:hint="eastAsia"/>
                    </w:rPr>
                  </w:pPr>
                  <w:r>
                    <w:rPr>
                      <w:rFonts w:hint="eastAsia"/>
                    </w:rPr>
                    <w:t>做好采购计划的安排，保证服务的有效性</w:t>
                  </w:r>
                </w:p>
                <w:p>
                  <w:pPr>
                    <w:pStyle w:val="2"/>
                    <w:numPr>
                      <w:ilvl w:val="0"/>
                      <w:numId w:val="0"/>
                    </w:numPr>
                    <w:ind w:leftChars="0"/>
                    <w:rPr>
                      <w:rFonts w:hint="eastAsia"/>
                      <w:lang w:val="en-US" w:eastAsia="zh-CN"/>
                    </w:rPr>
                  </w:pPr>
                  <w:r>
                    <w:t>3</w:t>
                  </w:r>
                  <w:r>
                    <w:rPr>
                      <w:rFonts w:hint="eastAsia"/>
                    </w:rPr>
                    <w:t>加大客户交流沟通，及时处理客户的需求和意见</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rPr>
                    <w:t>原材料市场不稳定，希望签订的年度合同和保底价格，带来的采购和资金风险</w:t>
                  </w:r>
                </w:p>
              </w:tc>
              <w:tc>
                <w:tcPr>
                  <w:tcW w:w="4413"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rPr>
                    <w:t>对公司影响较大的大宗原材料做好年度采购计划</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A3"/>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2021年7月，编号：21KP550161503011;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222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ascii="宋体" w:hAnsi="宋体"/>
                      <w:szCs w:val="24"/>
                    </w:rPr>
                  </w:pPr>
                  <w:r>
                    <w:rPr>
                      <w:rFonts w:hint="eastAsia"/>
                      <w:szCs w:val="21"/>
                    </w:rPr>
                    <w:t>职业健康安全</w:t>
                  </w:r>
                  <w:r>
                    <w:rPr>
                      <w:rFonts w:hint="eastAsia" w:ascii="宋体" w:hAnsi="宋体"/>
                      <w:szCs w:val="24"/>
                    </w:rPr>
                    <w:t>目标</w:t>
                  </w:r>
                </w:p>
              </w:tc>
              <w:tc>
                <w:tcPr>
                  <w:tcW w:w="2224" w:type="dxa"/>
                  <w:shd w:val="clear" w:color="auto" w:fill="auto"/>
                </w:tcPr>
                <w:p>
                  <w:pPr>
                    <w:jc w:val="center"/>
                    <w:rPr>
                      <w:rFonts w:hint="eastAsia" w:ascii="宋体" w:hAnsi="宋体" w:eastAsia="宋体"/>
                      <w:szCs w:val="24"/>
                      <w:lang w:eastAsia="zh-CN"/>
                    </w:rPr>
                  </w:pPr>
                  <w:r>
                    <w:rPr>
                      <w:rFonts w:hint="eastAsia" w:ascii="宋体" w:hAnsi="宋体"/>
                      <w:szCs w:val="24"/>
                      <w:lang w:val="en-US" w:eastAsia="zh-CN"/>
                    </w:rPr>
                    <w:t>计算方式</w:t>
                  </w:r>
                </w:p>
              </w:tc>
              <w:tc>
                <w:tcPr>
                  <w:tcW w:w="1350" w:type="dxa"/>
                  <w:shd w:val="clear" w:color="auto" w:fill="auto"/>
                </w:tcPr>
                <w:p>
                  <w:pPr>
                    <w:jc w:val="center"/>
                    <w:rPr>
                      <w:rFonts w:ascii="宋体" w:hAnsi="宋体"/>
                      <w:szCs w:val="24"/>
                    </w:rPr>
                  </w:pPr>
                  <w:r>
                    <w:rPr>
                      <w:rFonts w:hint="eastAsia" w:ascii="宋体" w:hAnsi="宋体"/>
                      <w:szCs w:val="24"/>
                    </w:rPr>
                    <w:t>责任部门</w:t>
                  </w:r>
                </w:p>
              </w:tc>
              <w:tc>
                <w:tcPr>
                  <w:tcW w:w="1774" w:type="dxa"/>
                  <w:shd w:val="clear" w:color="auto" w:fill="auto"/>
                </w:tcPr>
                <w:p>
                  <w:pPr>
                    <w:jc w:val="cente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vAlign w:val="center"/>
                </w:tcPr>
                <w:p>
                  <w:pPr>
                    <w:spacing w:line="360" w:lineRule="exact"/>
                    <w:rPr>
                      <w:rFonts w:hint="eastAsia" w:eastAsia="宋体"/>
                      <w:szCs w:val="21"/>
                      <w:lang w:val="en-US" w:eastAsia="zh-CN"/>
                    </w:rPr>
                  </w:pPr>
                  <w:r>
                    <w:rPr>
                      <w:rFonts w:hint="eastAsia"/>
                    </w:rPr>
                    <w:t>杜绝人身伤亡</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hint="eastAsia" w:ascii="宋体" w:hAnsi="宋体" w:eastAsia="宋体"/>
                      <w:szCs w:val="24"/>
                      <w:lang w:val="en-US" w:eastAsia="zh-CN"/>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vAlign w:val="center"/>
                </w:tcPr>
                <w:p>
                  <w:pPr>
                    <w:spacing w:line="360" w:lineRule="exact"/>
                    <w:rPr>
                      <w:rFonts w:hint="eastAsia" w:eastAsia="宋体"/>
                      <w:lang w:val="en-US" w:eastAsia="zh-CN"/>
                    </w:rPr>
                  </w:pPr>
                  <w:r>
                    <w:rPr>
                      <w:rFonts w:hint="eastAsia"/>
                    </w:rPr>
                    <w:t>杜绝火灾事故</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锁管机、吸尘器、气液分离器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机械伤害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FE"/>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行车，登记证编号：起17皖MMB00059，设备代码：41704137820172711，检验机构：滁州市特种设备监督检验中心，有效期：2022年7月14日，检测报告编号：MQD4170-2014-Q0077</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 xml:space="preserve"> 2021年3月19日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 xml:space="preserve"> 2021年3月28日</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auto"/>
                <w:szCs w:val="18"/>
                <w:highlight w:val="none"/>
                <w:lang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健康</w:t>
            </w:r>
            <w:r>
              <w:rPr>
                <w:rFonts w:hint="eastAsia"/>
                <w:color w:val="auto"/>
                <w:highlight w:val="none"/>
                <w:vertAlign w:val="baseline"/>
                <w:lang w:val="en-US" w:eastAsia="zh-CN"/>
              </w:rPr>
              <w:t>体检</w:t>
            </w:r>
            <w:r>
              <w:rPr>
                <w:rFonts w:hint="eastAsia"/>
                <w:color w:val="auto"/>
                <w:szCs w:val="18"/>
                <w:highlight w:val="none"/>
              </w:rPr>
              <w:t>报告</w:t>
            </w:r>
            <w:r>
              <w:rPr>
                <w:rFonts w:hint="eastAsia"/>
                <w:color w:val="auto"/>
                <w:szCs w:val="18"/>
                <w:highlight w:val="none"/>
                <w:lang w:eastAsia="zh-CN"/>
              </w:rPr>
              <w:t>》</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2021年7月，编号：21KP550161503011;  </w:t>
            </w: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2021年</w:t>
            </w:r>
            <w:r>
              <w:rPr>
                <w:rFonts w:hint="eastAsia"/>
                <w:color w:val="000000"/>
                <w:szCs w:val="21"/>
                <w:u w:val="single"/>
                <w:lang w:val="en-US" w:eastAsia="zh-CN"/>
              </w:rPr>
              <w:t>7</w:t>
            </w:r>
            <w:r>
              <w:rPr>
                <w:rFonts w:hint="eastAsia"/>
                <w:color w:val="000000"/>
                <w:szCs w:val="21"/>
                <w:u w:val="single"/>
                <w:lang w:eastAsia="zh-CN"/>
              </w:rPr>
              <w:t>月</w:t>
            </w:r>
            <w:r>
              <w:rPr>
                <w:rFonts w:hint="eastAsia"/>
                <w:color w:val="000000"/>
                <w:szCs w:val="21"/>
                <w:u w:val="single"/>
                <w:lang w:val="en-US" w:eastAsia="zh-CN"/>
              </w:rPr>
              <w:t>9</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7</w:t>
            </w:r>
            <w:r>
              <w:rPr>
                <w:rFonts w:hint="eastAsia"/>
                <w:color w:val="000000"/>
                <w:szCs w:val="18"/>
                <w:u w:val="single"/>
              </w:rPr>
              <w:t>月</w:t>
            </w:r>
            <w:r>
              <w:rPr>
                <w:rFonts w:hint="eastAsia"/>
                <w:color w:val="000000"/>
                <w:szCs w:val="18"/>
                <w:u w:val="single"/>
                <w:lang w:val="en-US" w:eastAsia="zh-CN"/>
              </w:rPr>
              <w:t>29</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bookmarkStart w:id="35" w:name="_GoBack"/>
            <w:bookmarkEnd w:id="35"/>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A3E2F38"/>
    <w:multiLevelType w:val="singleLevel"/>
    <w:tmpl w:val="EA3E2F3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99A6EC6"/>
    <w:rsid w:val="38127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2021-10-17T01:48:22Z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