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1054-2021-E</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任丘市亿阳通信电力器材有限公司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任丘市亿阳通信电力器材有限公司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任丘市麻家坞镇南马庄东大河路</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任丘市麻家坞镇南马庄东大河路</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王双奎</w:t>
            </w:r>
            <w:bookmarkEnd w:id="10"/>
          </w:p>
        </w:tc>
        <w:tc>
          <w:tcPr>
            <w:tcW w:w="1313" w:type="dxa"/>
            <w:vAlign w:val="center"/>
          </w:tcPr>
          <w:p>
            <w:r>
              <w:rPr>
                <w:rFonts w:hint="eastAsia"/>
              </w:rPr>
              <w:t>电话.</w:t>
            </w:r>
          </w:p>
        </w:tc>
        <w:tc>
          <w:tcPr>
            <w:tcW w:w="2180" w:type="dxa"/>
            <w:vAlign w:val="center"/>
          </w:tcPr>
          <w:p>
            <w:bookmarkStart w:id="11" w:name="联系人电话"/>
            <w:r>
              <w:t>13230731888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王双奎</w:t>
            </w:r>
            <w:bookmarkEnd w:id="13"/>
          </w:p>
        </w:tc>
        <w:tc>
          <w:tcPr>
            <w:tcW w:w="1313" w:type="dxa"/>
            <w:vAlign w:val="center"/>
          </w:tcPr>
          <w:p>
            <w:r>
              <w:rPr>
                <w:rFonts w:hint="eastAsia"/>
              </w:rPr>
              <w:t>管理者代表</w:t>
            </w:r>
          </w:p>
        </w:tc>
        <w:tc>
          <w:tcPr>
            <w:tcW w:w="2180" w:type="dxa"/>
          </w:tcPr>
          <w:p>
            <w:bookmarkStart w:id="14" w:name="管理者代表"/>
            <w:r>
              <w:t>王双奎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top"/>
          </w:tcPr>
          <w:p>
            <w:pPr>
              <w:tabs>
                <w:tab w:val="left" w:pos="972"/>
              </w:tabs>
              <w:spacing w:line="500" w:lineRule="atLeast"/>
              <w:rPr>
                <w:rFonts w:hint="eastAsia" w:ascii="宋体" w:hAnsi="宋体"/>
              </w:rPr>
            </w:pPr>
            <w:r>
              <w:rPr>
                <w:rFonts w:hint="eastAsia" w:ascii="宋体" w:hAnsi="宋体"/>
              </w:rPr>
              <w:t>接到订单-评审-签合同-采购-进货(检验)-销售（包括运输送货）-客户签收-满意度调查</w:t>
            </w:r>
          </w:p>
          <w:p>
            <w:pPr>
              <w:tabs>
                <w:tab w:val="left" w:pos="360"/>
              </w:tabs>
              <w:ind w:left="360" w:leftChars="0" w:hanging="360" w:firstLineChars="0"/>
              <w:rPr>
                <w:rFonts w:ascii="宋体" w:hAnsi="宋体" w:eastAsia="宋体" w:cs="Times New Roman"/>
                <w:b/>
                <w:color w:val="000000"/>
                <w:kern w:val="2"/>
                <w:sz w:val="21"/>
                <w:szCs w:val="21"/>
                <w:lang w:val="en-US" w:eastAsia="zh-CN" w:bidi="ar-SA"/>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2021年10月15日 上午至2021年10月16日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通信光缆、塑料通信管材、钢绞线、通信铁件、电话线、通信箱体、通信油木杆、走线架、通信井具的销售所涉及场所的相关环境管理活动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2267" w:type="dxa"/>
            <w:vAlign w:val="top"/>
          </w:tcPr>
          <w:p>
            <w:pPr>
              <w:spacing w:before="40" w:after="40"/>
              <w:rPr>
                <w:rFonts w:hint="eastAsia" w:ascii="宋体" w:hAnsi="宋体" w:cs="宋体"/>
                <w:color w:val="000000"/>
                <w:kern w:val="0"/>
                <w:szCs w:val="21"/>
              </w:rPr>
            </w:pPr>
            <w:r>
              <w:rPr>
                <w:rFonts w:hint="eastAsia" w:ascii="宋体" w:hAnsi="宋体" w:cs="宋体"/>
                <w:color w:val="000000"/>
                <w:kern w:val="0"/>
                <w:szCs w:val="21"/>
              </w:rPr>
              <w:t>任丘市亿阳通信电力器材有限公司</w:t>
            </w:r>
          </w:p>
          <w:p>
            <w:pPr>
              <w:spacing w:before="40" w:after="40"/>
              <w:rPr>
                <w:lang w:val="de-DE" w:eastAsia="ja-JP"/>
              </w:rPr>
            </w:pPr>
            <w:r>
              <w:rPr>
                <w:rFonts w:hint="eastAsia" w:ascii="宋体" w:hAnsi="宋体" w:cs="宋体"/>
                <w:color w:val="000000"/>
                <w:kern w:val="0"/>
                <w:szCs w:val="21"/>
              </w:rPr>
              <w:t>任丘市麻家坞镇南马庄东大河路</w:t>
            </w:r>
          </w:p>
        </w:tc>
        <w:tc>
          <w:tcPr>
            <w:tcW w:w="2267" w:type="dxa"/>
            <w:vAlign w:val="top"/>
          </w:tcPr>
          <w:p>
            <w:pPr>
              <w:spacing w:before="40" w:after="40"/>
              <w:rPr>
                <w:lang w:val="de-DE" w:eastAsia="ja-JP"/>
              </w:rPr>
            </w:pPr>
            <w:r>
              <w:rPr>
                <w:rFonts w:hint="eastAsia" w:ascii="宋体" w:hAnsi="宋体" w:cs="宋体"/>
                <w:color w:val="000000"/>
                <w:kern w:val="0"/>
                <w:szCs w:val="21"/>
              </w:rPr>
              <w:t>任丘市麻家坞镇南马庄东大河路</w:t>
            </w:r>
          </w:p>
        </w:tc>
        <w:tc>
          <w:tcPr>
            <w:tcW w:w="571" w:type="dxa"/>
            <w:vAlign w:val="center"/>
          </w:tcPr>
          <w:p>
            <w:pPr>
              <w:spacing w:before="40" w:after="40"/>
              <w:rPr>
                <w:lang w:eastAsia="ja-JP"/>
              </w:rPr>
            </w:pPr>
            <w:r>
              <w:rPr>
                <w:rFonts w:hint="eastAsia" w:eastAsia="黑体"/>
                <w:szCs w:val="21"/>
                <w:lang w:val="en-US" w:eastAsia="zh-CN"/>
              </w:rPr>
              <w:t>15</w:t>
            </w:r>
          </w:p>
        </w:tc>
        <w:tc>
          <w:tcPr>
            <w:tcW w:w="2803" w:type="dxa"/>
            <w:vAlign w:val="center"/>
          </w:tcPr>
          <w:p>
            <w:pPr>
              <w:tabs>
                <w:tab w:val="left" w:pos="360"/>
              </w:tabs>
              <w:ind w:left="360" w:hanging="360"/>
              <w:rPr>
                <w:rFonts w:ascii="宋体" w:hAnsi="宋体"/>
                <w:b/>
                <w:color w:val="000000"/>
                <w:szCs w:val="21"/>
              </w:rPr>
            </w:pPr>
            <w:r>
              <w:rPr>
                <w:rFonts w:hint="eastAsia" w:ascii="宋体" w:hAnsi="宋体" w:cs="宋体"/>
                <w:color w:val="000000"/>
                <w:kern w:val="0"/>
                <w:szCs w:val="21"/>
              </w:rPr>
              <w:t>通信光缆、塑料通信管材、钢绞线、通信铁件、电话线、通信箱体、通信油木杆、走线架、通信井具的销售及其所涉及的环境管理活动。</w:t>
            </w:r>
          </w:p>
          <w:p>
            <w:pPr>
              <w:spacing w:line="400" w:lineRule="exact"/>
              <w:rPr>
                <w:lang w:eastAsia="ja-JP"/>
              </w:rPr>
            </w:pPr>
          </w:p>
        </w:tc>
        <w:tc>
          <w:tcPr>
            <w:tcW w:w="669" w:type="dxa"/>
            <w:vAlign w:val="center"/>
          </w:tcPr>
          <w:p>
            <w:pPr>
              <w:spacing w:before="40" w:after="40"/>
              <w:rPr>
                <w:lang w:eastAsia="ja-JP"/>
              </w:rPr>
            </w:pPr>
            <w:r>
              <w:rPr>
                <w:rFonts w:hint="eastAsia" w:eastAsia="黑体"/>
                <w:szCs w:val="21"/>
                <w:lang w:eastAsia="ja-JP"/>
              </w:rPr>
              <w:t>GB/T24001-2016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color w:val="000000"/>
                    <w:szCs w:val="21"/>
                    <w:lang w:val="de-DE"/>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2020-N1EMS-1263722</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pPr>
        <w:pStyle w:val="2"/>
      </w:pPr>
    </w:p>
    <w:p>
      <w:pPr>
        <w:pStyle w:val="2"/>
      </w:pPr>
    </w:p>
    <w:p>
      <w:pPr>
        <w:pStyle w:val="2"/>
      </w:pPr>
    </w:p>
    <w:p>
      <w:pPr>
        <w:pStyle w:val="2"/>
      </w:pPr>
    </w:p>
    <w:p>
      <w:pPr>
        <w:pStyle w:val="2"/>
      </w:pPr>
    </w:p>
    <w:p>
      <w:pPr>
        <w:pStyle w:val="2"/>
      </w:pPr>
    </w:p>
    <w:p>
      <w:pPr>
        <w:pStyle w:val="2"/>
      </w:pP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b/>
                <w:bCs/>
                <w:color w:val="000000"/>
                <w:sz w:val="26"/>
                <w:szCs w:val="26"/>
              </w:rPr>
              <w:drawing>
                <wp:inline distT="0" distB="0" distL="114300" distR="114300">
                  <wp:extent cx="751840" cy="153035"/>
                  <wp:effectExtent l="0" t="0" r="10160" b="12065"/>
                  <wp:docPr id="1" name="图片 1"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6a5c841a37020f1737749b4fa126c"/>
                          <pic:cNvPicPr>
                            <a:picLocks noChangeAspect="1"/>
                          </pic:cNvPicPr>
                        </pic:nvPicPr>
                        <pic:blipFill>
                          <a:blip r:embed="rId6"/>
                          <a:stretch>
                            <a:fillRect/>
                          </a:stretch>
                        </pic:blipFill>
                        <pic:spPr>
                          <a:xfrm>
                            <a:off x="0" y="0"/>
                            <a:ext cx="751840" cy="153035"/>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2021.10.18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审核周期</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体系要素</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组织环境</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firstLine="1260" w:firstLineChars="600"/>
                    <w:rPr>
                      <w:rFonts w:hint="default"/>
                    </w:rPr>
                  </w:pPr>
                </w:p>
              </w:tc>
              <w:tc>
                <w:tcPr>
                  <w:tcW w:w="7375" w:type="dxa"/>
                </w:tcPr>
                <w:p>
                  <w:pPr>
                    <w:keepNext w:val="0"/>
                    <w:keepLines w:val="0"/>
                    <w:suppressLineNumbers w:val="0"/>
                    <w:shd w:val="clear" w:color="auto" w:fill="EBF1DE" w:themeFill="accent3" w:themeFillTint="32"/>
                    <w:spacing w:before="0" w:beforeAutospacing="0" w:after="0" w:afterAutospacing="0"/>
                    <w:ind w:left="0" w:right="0" w:firstLine="420" w:firstLineChars="200"/>
                    <w:rPr>
                      <w:rFonts w:hint="default"/>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外部环境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□社会 </w:t>
                  </w:r>
                  <w:r>
                    <w:rPr>
                      <w:rFonts w:hint="eastAsia"/>
                    </w:rPr>
                    <w:sym w:font="Wingdings 2" w:char="0052"/>
                  </w:r>
                  <w:r>
                    <w:rPr>
                      <w:rFonts w:hint="eastAsia"/>
                    </w:rPr>
                    <w:t xml:space="preserve">经济环境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内部环境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价值观  □文化  </w:t>
                  </w:r>
                  <w:r>
                    <w:rPr>
                      <w:rFonts w:hint="eastAsia"/>
                    </w:rPr>
                    <w:sym w:font="Wingdings 2" w:char="0052"/>
                  </w:r>
                  <w:r>
                    <w:rPr>
                      <w:rFonts w:hint="eastAsia"/>
                    </w:rPr>
                    <w:t xml:space="preserve">知识 □绩效 □工艺 □设备 </w:t>
                  </w:r>
                  <w:r>
                    <w:rPr>
                      <w:rFonts w:hint="eastAsia"/>
                    </w:rPr>
                    <w:sym w:font="Wingdings 2" w:char="0052"/>
                  </w:r>
                  <w:r>
                    <w:rPr>
                      <w:rFonts w:hint="eastAsia"/>
                    </w:rPr>
                    <w:t xml:space="preserve">人员能力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default"/>
                    </w:rPr>
                    <w:t>活动、产品和服务</w:t>
                  </w:r>
                  <w:r>
                    <w:rPr>
                      <w:rFonts w:hint="eastAsia"/>
                    </w:rPr>
                    <w:t xml:space="preserve"> </w:t>
                  </w:r>
                  <w:r>
                    <w:rPr>
                      <w:rFonts w:hint="eastAsia"/>
                    </w:rPr>
                    <w:sym w:font="Wingdings 2" w:char="0052"/>
                  </w:r>
                  <w:r>
                    <w:rPr>
                      <w:rFonts w:hint="default"/>
                    </w:rPr>
                    <w:t>战略方向</w:t>
                  </w:r>
                  <w:r>
                    <w:rPr>
                      <w:rFonts w:hint="eastAsia"/>
                    </w:rPr>
                    <w:t xml:space="preserve"> □其他</w:t>
                  </w: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主管部门</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供方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顾客</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社区</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员工</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□投资方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□其他</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组织运用生命周期观点明确相关环境管理体系的范围；（详见第一条款审核范围）</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已将环境管理体系要求融入到其各项业务过程中，包括：</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□生产 □检验 □仓库管理 </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A3"/>
            </w:r>
            <w:r>
              <w:rPr>
                <w:rFonts w:hint="eastAsia"/>
              </w:rPr>
              <w:t xml:space="preserve">达标排放 </w:t>
            </w:r>
            <w:r>
              <w:rPr>
                <w:rFonts w:hint="eastAsia"/>
              </w:rPr>
              <w:sym w:font="Wingdings 2" w:char="0052"/>
            </w:r>
            <w:r>
              <w:rPr>
                <w:rFonts w:hint="eastAsia"/>
              </w:rPr>
              <w:t xml:space="preserve">消防控制 □危化品管理 □特种设备管理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□环评三同时 □其他</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□危险废物处置 □消防检测 □生产/服务过程 □环保监测 </w:t>
            </w:r>
            <w:r>
              <w:rPr>
                <w:rFonts w:hint="eastAsia"/>
              </w:rPr>
              <w:sym w:font="Wingdings 2" w:char="0052"/>
            </w:r>
            <w:r>
              <w:rPr>
                <w:rFonts w:hint="eastAsia"/>
              </w:rPr>
              <w:t>产品运输 □设备维修</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□人员培训 □其他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领导作用</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最高管理者制定了文件化的管理体系方针：</w:t>
            </w:r>
            <w:r>
              <w:rPr>
                <w:rFonts w:hint="eastAsia"/>
                <w:u w:val="single"/>
              </w:rPr>
              <w:t xml:space="preserve"> 科学管理，遵守法规，预防污染，持续改进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最高管理者确定了组织架构及相关岗位的职责、权限，并进行了全员的沟通和理解；</w:t>
            </w:r>
          </w:p>
          <w:p>
            <w:pPr>
              <w:keepNext w:val="0"/>
              <w:keepLines w:val="0"/>
              <w:suppressLineNumbers w:val="0"/>
              <w:shd w:val="clear" w:color="auto" w:fill="EBF1DE" w:themeFill="accent3" w:themeFillTint="32"/>
              <w:spacing w:before="0" w:beforeAutospacing="0" w:after="0" w:afterAutospacing="0"/>
              <w:ind w:left="0" w:right="0"/>
              <w:rPr>
                <w:rFonts w:hint="eastAsia" w:eastAsia="宋体"/>
                <w:lang w:val="en-US" w:eastAsia="zh-CN"/>
              </w:rPr>
            </w:pPr>
            <w:r>
              <w:rPr>
                <w:rFonts w:hint="eastAsia"/>
              </w:rPr>
              <w:t>EMS的主管部门是——</w:t>
            </w:r>
            <w:r>
              <w:rPr>
                <w:rFonts w:hint="eastAsia"/>
                <w:lang w:val="en-US" w:eastAsia="zh-CN"/>
              </w:rPr>
              <w:t>办公室</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策划</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3"/>
              <w:gridCol w:w="3300"/>
              <w:gridCol w:w="1429"/>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主要的风险或机遇描述</w:t>
                  </w:r>
                </w:p>
              </w:tc>
              <w:tc>
                <w:tcPr>
                  <w:tcW w:w="330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应对措施</w:t>
                  </w:r>
                </w:p>
              </w:tc>
              <w:tc>
                <w:tcPr>
                  <w:tcW w:w="1429"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措施的有效性</w:t>
                  </w:r>
                </w:p>
              </w:tc>
              <w:tc>
                <w:tcPr>
                  <w:tcW w:w="1429" w:type="dxa"/>
                </w:tcPr>
                <w:p>
                  <w:pPr>
                    <w:keepNext w:val="0"/>
                    <w:keepLines w:val="0"/>
                    <w:suppressLineNumbers w:val="0"/>
                    <w:shd w:val="clear" w:color="auto" w:fill="EBF1DE" w:themeFill="accent3" w:themeFillTint="32"/>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0"/>
                      <w:szCs w:val="20"/>
                      <w:u w:val="none"/>
                      <w:lang w:val="en-US" w:eastAsia="zh-CN" w:bidi="ar"/>
                    </w:rPr>
                    <w:t>人员素质参差不齐，环保意识不强，对岗位环境因素认识不足，控制方法不明确；</w:t>
                  </w:r>
                </w:p>
              </w:tc>
              <w:tc>
                <w:tcPr>
                  <w:tcW w:w="3300" w:type="dxa"/>
                  <w:vAlign w:val="center"/>
                </w:tcPr>
                <w:p>
                  <w:pPr>
                    <w:keepNext w:val="0"/>
                    <w:keepLines w:val="0"/>
                    <w:widowControl/>
                    <w:suppressLineNumbers w:val="0"/>
                    <w:jc w:val="left"/>
                    <w:textAlignment w:val="center"/>
                    <w:rPr>
                      <w:rFonts w:hint="eastAsia"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制定相应管理文件，组织员工参与岗位环境因素的识别，岗位重要因素的培训</w:t>
                  </w:r>
                </w:p>
              </w:tc>
              <w:tc>
                <w:tcPr>
                  <w:tcW w:w="1429" w:type="dxa"/>
                </w:tcPr>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lang w:val="en-US" w:eastAsia="zh-CN"/>
                    </w:rPr>
                    <w:t>100%</w:t>
                  </w:r>
                </w:p>
              </w:tc>
              <w:tc>
                <w:tcPr>
                  <w:tcW w:w="1429" w:type="dxa"/>
                </w:tcPr>
                <w:p>
                  <w:pPr>
                    <w:keepNext w:val="0"/>
                    <w:keepLines w:val="0"/>
                    <w:suppressLineNumbers w:val="0"/>
                    <w:shd w:val="clear" w:color="auto" w:fill="EBF1DE" w:themeFill="accent3" w:themeFillTint="32"/>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vAlign w:val="center"/>
                </w:tcPr>
                <w:p>
                  <w:pPr>
                    <w:keepNext w:val="0"/>
                    <w:keepLines w:val="0"/>
                    <w:widowControl/>
                    <w:suppressLineNumbers w:val="0"/>
                    <w:jc w:val="left"/>
                    <w:textAlignment w:val="center"/>
                    <w:rPr>
                      <w:rFonts w:hint="eastAsia" w:ascii="Times New Roman" w:hAnsi="Times New Roman" w:eastAsia="宋体" w:cs="Times New Roman"/>
                      <w:kern w:val="2"/>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适用环境法律法规的识别、收集及宣传不够，相对应公司内部活动及环境因素不够明确，部分员工守法意识淡薄。</w:t>
                  </w:r>
                </w:p>
              </w:tc>
              <w:tc>
                <w:tcPr>
                  <w:tcW w:w="3300" w:type="dxa"/>
                  <w:vAlign w:val="center"/>
                </w:tcPr>
                <w:p>
                  <w:pPr>
                    <w:keepNext w:val="0"/>
                    <w:keepLines w:val="0"/>
                    <w:widowControl/>
                    <w:suppressLineNumbers w:val="0"/>
                    <w:jc w:val="left"/>
                    <w:textAlignment w:val="center"/>
                    <w:rPr>
                      <w:rFonts w:hint="default"/>
                    </w:rPr>
                  </w:pPr>
                  <w:r>
                    <w:rPr>
                      <w:rFonts w:hint="eastAsia" w:ascii="宋体" w:hAnsi="宋体" w:eastAsia="宋体" w:cs="宋体"/>
                      <w:i w:val="0"/>
                      <w:iCs w:val="0"/>
                      <w:color w:val="000000"/>
                      <w:kern w:val="0"/>
                      <w:sz w:val="20"/>
                      <w:szCs w:val="20"/>
                      <w:u w:val="none"/>
                      <w:lang w:val="en-US" w:eastAsia="zh-CN" w:bidi="ar"/>
                    </w:rPr>
                    <w:t>加强识别、收集，定期更新，重要条款予以培训或纳入制度中。</w:t>
                  </w:r>
                </w:p>
              </w:tc>
              <w:tc>
                <w:tcPr>
                  <w:tcW w:w="1429" w:type="dxa"/>
                </w:tcPr>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lang w:val="en-US" w:eastAsia="zh-CN"/>
                    </w:rPr>
                    <w:t>100%</w:t>
                  </w:r>
                </w:p>
              </w:tc>
              <w:tc>
                <w:tcPr>
                  <w:tcW w:w="1429" w:type="dxa"/>
                </w:tcPr>
                <w:p>
                  <w:pPr>
                    <w:keepNext w:val="0"/>
                    <w:keepLines w:val="0"/>
                    <w:suppressLineNumbers w:val="0"/>
                    <w:shd w:val="clear" w:color="auto" w:fill="EBF1DE" w:themeFill="accent3" w:themeFillTint="32"/>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公司环保资质及设施较为齐全，但管理制度尚不够健全；</w:t>
                  </w:r>
                </w:p>
              </w:tc>
              <w:tc>
                <w:tcPr>
                  <w:tcW w:w="33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建立健全环保制度，严格落实执行  </w:t>
                  </w:r>
                </w:p>
              </w:tc>
              <w:tc>
                <w:tcPr>
                  <w:tcW w:w="1429" w:type="dxa"/>
                </w:tcPr>
                <w:p>
                  <w:pPr>
                    <w:keepNext w:val="0"/>
                    <w:keepLines w:val="0"/>
                    <w:suppressLineNumbers w:val="0"/>
                    <w:shd w:val="clear" w:color="auto" w:fill="EBF1DE" w:themeFill="accent3" w:themeFillTint="32"/>
                    <w:spacing w:before="0" w:beforeAutospacing="0" w:after="0" w:afterAutospacing="0"/>
                    <w:ind w:left="0" w:right="0"/>
                    <w:rPr>
                      <w:rFonts w:hint="default"/>
                      <w:lang w:val="en-US" w:eastAsia="zh-CN"/>
                    </w:rPr>
                  </w:pPr>
                  <w:r>
                    <w:rPr>
                      <w:rFonts w:hint="eastAsia"/>
                      <w:lang w:val="en-US" w:eastAsia="zh-CN"/>
                    </w:rPr>
                    <w:t>100%</w:t>
                  </w:r>
                </w:p>
              </w:tc>
              <w:tc>
                <w:tcPr>
                  <w:tcW w:w="1429" w:type="dxa"/>
                </w:tcPr>
                <w:p>
                  <w:pPr>
                    <w:keepNext w:val="0"/>
                    <w:keepLines w:val="0"/>
                    <w:suppressLineNumbers w:val="0"/>
                    <w:shd w:val="clear" w:color="auto" w:fill="EBF1DE" w:themeFill="accent3" w:themeFillTint="32"/>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在确定潜在的紧急情况  例如：火灾发生</w:t>
                  </w:r>
                </w:p>
              </w:tc>
              <w:tc>
                <w:tcPr>
                  <w:tcW w:w="330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制定应急预案，定期培训防火常识，定期防火演练</w:t>
                  </w:r>
                </w:p>
              </w:tc>
              <w:tc>
                <w:tcPr>
                  <w:tcW w:w="1429" w:type="dxa"/>
                </w:tcPr>
                <w:p>
                  <w:pPr>
                    <w:keepNext w:val="0"/>
                    <w:keepLines w:val="0"/>
                    <w:suppressLineNumbers w:val="0"/>
                    <w:shd w:val="clear" w:color="auto" w:fill="EBF1DE" w:themeFill="accent3" w:themeFillTint="32"/>
                    <w:spacing w:before="0" w:beforeAutospacing="0" w:after="0" w:afterAutospacing="0"/>
                    <w:ind w:left="0" w:right="0"/>
                    <w:rPr>
                      <w:rFonts w:hint="default"/>
                      <w:lang w:val="en-US" w:eastAsia="zh-CN"/>
                    </w:rPr>
                  </w:pPr>
                  <w:r>
                    <w:rPr>
                      <w:rFonts w:hint="eastAsia"/>
                      <w:lang w:val="en-US" w:eastAsia="zh-CN"/>
                    </w:rPr>
                    <w:t>100%</w:t>
                  </w:r>
                </w:p>
              </w:tc>
              <w:tc>
                <w:tcPr>
                  <w:tcW w:w="1429" w:type="dxa"/>
                </w:tcPr>
                <w:p>
                  <w:pPr>
                    <w:keepNext w:val="0"/>
                    <w:keepLines w:val="0"/>
                    <w:suppressLineNumbers w:val="0"/>
                    <w:shd w:val="clear" w:color="auto" w:fill="EBF1DE" w:themeFill="accent3" w:themeFillTint="32"/>
                    <w:spacing w:before="0" w:beforeAutospacing="0" w:after="0" w:afterAutospacing="0"/>
                    <w:ind w:left="0" w:right="0"/>
                    <w:rPr>
                      <w:rFonts w:hint="eastAsia"/>
                      <w:lang w:val="en-US" w:eastAsia="zh-CN"/>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、异常状况和可合理预见的紧急情况。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制订了文件化的评价重要环境因素的准则，重要环境因素已识别，且对它们的重要性和对环境的影响被定期评审和更新。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重要环境因素包括(必要时，按每个场所来描述):（不必全选）</w:t>
            </w:r>
          </w:p>
          <w:p>
            <w:pPr>
              <w:keepNext w:val="0"/>
              <w:keepLines w:val="0"/>
              <w:suppressLineNumbers w:val="0"/>
              <w:shd w:val="clear" w:color="auto" w:fill="EBF1DE" w:themeFill="accent3" w:themeFillTint="32"/>
              <w:spacing w:before="40" w:beforeAutospacing="0" w:after="40" w:afterAutospacing="0"/>
              <w:ind w:left="0" w:right="0"/>
              <w:rPr>
                <w:rFonts w:hint="default"/>
                <w:highlight w:val="cyan"/>
              </w:rPr>
            </w:pPr>
            <w:r>
              <w:rPr>
                <w:rFonts w:hint="eastAsia"/>
              </w:rPr>
              <w:sym w:font="Wingdings 2" w:char="00A3"/>
            </w:r>
            <w:r>
              <w:rPr>
                <w:rFonts w:hint="eastAsia"/>
              </w:rPr>
              <w:t xml:space="preserve">能源消耗  </w:t>
            </w:r>
            <w:r>
              <w:rPr>
                <w:rFonts w:hint="eastAsia"/>
              </w:rPr>
              <w:sym w:font="Wingdings 2" w:char="0052"/>
            </w:r>
            <w:r>
              <w:rPr>
                <w:rFonts w:hint="eastAsia"/>
              </w:rPr>
              <w:t xml:space="preserve">资源消耗 □废水排放  □废气排放 □粉尘排放  □危废排放 □噪声排放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组织定期确定并获取</w:t>
            </w:r>
            <w:r>
              <w:rPr>
                <w:rFonts w:hint="eastAsia"/>
              </w:rPr>
              <w:t>了</w:t>
            </w:r>
            <w:r>
              <w:rPr>
                <w:rFonts w:hint="default"/>
              </w:rPr>
              <w:t>与其环境因素有关的</w:t>
            </w:r>
            <w:r>
              <w:rPr>
                <w:rFonts w:hint="eastAsia"/>
              </w:rPr>
              <w:t>文件化的</w:t>
            </w:r>
            <w:r>
              <w:rPr>
                <w:rFonts w:hint="default"/>
              </w:rPr>
              <w:t>合规义务； 将这些合规义务应用于组织； 在建立、实施、保持和持续改进其环境管理体系时必须考虑这些合规义务。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w:t>
            </w:r>
            <w:r>
              <w:rPr>
                <w:rFonts w:hint="eastAsia"/>
              </w:rPr>
              <w:t>提供了</w:t>
            </w:r>
            <w:r>
              <w:rPr>
                <w:rFonts w:hint="default"/>
              </w:rPr>
              <w:t>下列许可和授权(必要时，按每个场所来描述):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□安全生产许可证编号：</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□排污许可证编号：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□环境影响登记表日期：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□环境影响报告表日期：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□环境影响报告书日期：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□消防验收/备案证明日期：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组织策划并采取措施管理其重要环境因素、合规义务和识别的风险和机遇；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□污水处理  □除尘设备 □设备降噪  □危废合法处置 □使用节能设备  □危化品控制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eastAsia"/>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环境目标</w:t>
                  </w:r>
                </w:p>
              </w:tc>
              <w:tc>
                <w:tcPr>
                  <w:tcW w:w="3136"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控制措施</w:t>
                  </w:r>
                </w:p>
              </w:tc>
              <w:tc>
                <w:tcPr>
                  <w:tcW w:w="1350"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责任部门</w:t>
                  </w:r>
                </w:p>
              </w:tc>
              <w:tc>
                <w:tcPr>
                  <w:tcW w:w="1774"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20" w:lineRule="exact"/>
                    <w:rPr>
                      <w:rFonts w:hint="default"/>
                    </w:rPr>
                  </w:pPr>
                  <w:r>
                    <w:rPr>
                      <w:rFonts w:hint="eastAsia" w:hAnsi="宋体"/>
                    </w:rPr>
                    <w:t>固体废弃物分类回收率100%，合理处置。</w:t>
                  </w:r>
                </w:p>
              </w:tc>
              <w:tc>
                <w:tcPr>
                  <w:tcW w:w="3136"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rPr>
                    <w:t>废电池用塑料袋装好，做好标识，交办公室集中回收，统一处理</w:t>
                  </w:r>
                  <w:r>
                    <w:rPr>
                      <w:rFonts w:hint="eastAsia"/>
                      <w:lang w:eastAsia="zh-CN"/>
                    </w:rPr>
                    <w:t>；</w:t>
                  </w:r>
                  <w:r>
                    <w:rPr>
                      <w:rFonts w:hint="eastAsia"/>
                    </w:rPr>
                    <w:t>废日光灯放入专用垃圾箱，做好标识，交办公室集中回收，统一处理</w:t>
                  </w:r>
                  <w:r>
                    <w:rPr>
                      <w:rFonts w:hint="eastAsia"/>
                      <w:lang w:eastAsia="zh-CN"/>
                    </w:rPr>
                    <w:t>；</w:t>
                  </w:r>
                  <w:r>
                    <w:rPr>
                      <w:rFonts w:hint="eastAsia"/>
                    </w:rPr>
                    <w:t>废硒鼓用塑料袋装好，做好标识，交办公室集中回收，统一处理</w:t>
                  </w:r>
                  <w:r>
                    <w:rPr>
                      <w:rFonts w:hint="eastAsia"/>
                      <w:lang w:eastAsia="zh-CN"/>
                    </w:rPr>
                    <w:t>；</w:t>
                  </w:r>
                  <w:r>
                    <w:rPr>
                      <w:rFonts w:hint="eastAsia"/>
                    </w:rPr>
                    <w:t>尽量用电子邮件和内部局域网传递资料，材料纸张采用双面打印</w:t>
                  </w:r>
                  <w:r>
                    <w:rPr>
                      <w:rFonts w:hint="eastAsia"/>
                      <w:lang w:eastAsia="zh-CN"/>
                    </w:rPr>
                    <w:t>；</w:t>
                  </w:r>
                  <w:r>
                    <w:rPr>
                      <w:rFonts w:hint="eastAsia"/>
                    </w:rPr>
                    <w:t>废纸放入可回收箱，集中外收废纸收购站</w:t>
                  </w:r>
                  <w:r>
                    <w:rPr>
                      <w:rFonts w:hint="eastAsia"/>
                      <w:lang w:eastAsia="zh-CN"/>
                    </w:rPr>
                    <w:t>；</w:t>
                  </w:r>
                  <w:r>
                    <w:rPr>
                      <w:rFonts w:hint="eastAsia"/>
                    </w:rPr>
                    <w:t>不可回收垃圾集中收集，倒入市政垃圾箱或运至垃圾处理</w:t>
                  </w:r>
                  <w:r>
                    <w:rPr>
                      <w:rFonts w:hint="eastAsia"/>
                      <w:lang w:eastAsia="zh-CN"/>
                    </w:rPr>
                    <w:t>；</w:t>
                  </w:r>
                  <w:r>
                    <w:rPr>
                      <w:rFonts w:hint="eastAsia"/>
                    </w:rPr>
                    <w:t>教育员工不随意丢垃圾，加强检查。</w:t>
                  </w:r>
                </w:p>
              </w:tc>
              <w:tc>
                <w:tcPr>
                  <w:tcW w:w="1350" w:type="dxa"/>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全公司</w:t>
                  </w:r>
                </w:p>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ascii="宋体" w:hAnsi="宋体"/>
                      <w:szCs w:val="21"/>
                    </w:rPr>
                    <w:t>所有人员</w:t>
                  </w: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Times New Roman" w:hAnsi="Times New Roman" w:eastAsia="宋体" w:cs="Times New Roman"/>
                      <w:kern w:val="2"/>
                      <w:sz w:val="24"/>
                      <w:szCs w:val="24"/>
                      <w:lang w:val="en-US" w:eastAsia="zh-CN" w:bidi="ar-SA"/>
                    </w:rPr>
                  </w:pPr>
                  <w:r>
                    <w:rPr>
                      <w:rFonts w:hint="eastAsia"/>
                    </w:rPr>
                    <w:t>火灾事故发生率为零</w:t>
                  </w:r>
                </w:p>
              </w:tc>
              <w:tc>
                <w:tcPr>
                  <w:tcW w:w="3136" w:type="dxa"/>
                  <w:shd w:val="clear" w:color="auto" w:fill="auto"/>
                  <w:vAlign w:val="top"/>
                </w:tcPr>
                <w:p>
                  <w:pPr>
                    <w:spacing w:line="320" w:lineRule="exact"/>
                    <w:rPr>
                      <w:rFonts w:hint="eastAsia" w:hAnsi="宋体"/>
                      <w:bCs/>
                    </w:rPr>
                  </w:pPr>
                  <w:r>
                    <w:rPr>
                      <w:rFonts w:hint="eastAsia" w:hAnsi="宋体"/>
                      <w:bCs/>
                    </w:rPr>
                    <w:t>1.</w:t>
                  </w:r>
                  <w:r>
                    <w:rPr>
                      <w:rFonts w:hint="eastAsia" w:hAnsi="宋体"/>
                      <w:bCs/>
                      <w:lang w:val="en-US" w:eastAsia="zh-CN"/>
                    </w:rPr>
                    <w:t>办公室</w:t>
                  </w:r>
                  <w:r>
                    <w:rPr>
                      <w:rFonts w:hint="eastAsia" w:hAnsi="宋体"/>
                      <w:bCs/>
                    </w:rPr>
                    <w:t>配置禁止烟火标志和灭火器。</w:t>
                  </w:r>
                </w:p>
                <w:p>
                  <w:pPr>
                    <w:spacing w:line="320" w:lineRule="exact"/>
                    <w:rPr>
                      <w:rFonts w:hint="eastAsia" w:ascii="宋体" w:hAnsi="宋体" w:eastAsia="宋体" w:cs="Times New Roman"/>
                      <w:kern w:val="2"/>
                      <w:sz w:val="21"/>
                      <w:szCs w:val="21"/>
                      <w:lang w:val="en-US" w:eastAsia="zh-CN" w:bidi="ar-SA"/>
                    </w:rPr>
                  </w:pPr>
                  <w:r>
                    <w:rPr>
                      <w:rFonts w:hint="eastAsia" w:hAnsi="宋体"/>
                      <w:bCs/>
                    </w:rPr>
                    <w:t>2. 按照《应急准备与响应预案》及《消防安全管理制度》控制。</w:t>
                  </w:r>
                </w:p>
              </w:tc>
              <w:tc>
                <w:tcPr>
                  <w:tcW w:w="1350" w:type="dxa"/>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szCs w:val="21"/>
                    </w:rPr>
                  </w:pPr>
                  <w:r>
                    <w:rPr>
                      <w:rFonts w:hint="eastAsia" w:ascii="宋体" w:hAnsi="宋体"/>
                      <w:szCs w:val="21"/>
                    </w:rPr>
                    <w:t>全公司</w:t>
                  </w:r>
                </w:p>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szCs w:val="21"/>
                    </w:rPr>
                    <w:t>所有人员</w:t>
                  </w: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已完成</w:t>
                  </w: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目标已实现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支持</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组织的资源状况：</w:t>
            </w:r>
            <w:r>
              <w:rPr>
                <w:rFonts w:hint="eastAsia"/>
              </w:rPr>
              <w:sym w:font="Wingdings 2" w:char="0052"/>
            </w:r>
            <w:r>
              <w:rPr>
                <w:rFonts w:hint="eastAsia"/>
              </w:rPr>
              <w:t xml:space="preserve">人力资源 </w:t>
            </w:r>
            <w:r>
              <w:rPr>
                <w:rFonts w:hint="eastAsia" w:ascii="Wingdings" w:hAnsi="Wingdings"/>
              </w:rPr>
              <w:t>¨</w:t>
            </w:r>
            <w:r>
              <w:rPr>
                <w:rFonts w:hint="eastAsia"/>
              </w:rPr>
              <w:t xml:space="preserve">自然资源 </w:t>
            </w:r>
            <w:r>
              <w:rPr>
                <w:rFonts w:hint="eastAsia"/>
              </w:rPr>
              <w:sym w:font="Wingdings 2" w:char="0052"/>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现有内部资源的能力</w:t>
            </w:r>
            <w:r>
              <w:rPr>
                <w:rFonts w:hint="eastAsia"/>
              </w:rPr>
              <w:t>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可基本满足环境管理体系运行，但是还有不足需要补充：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组织应确定并配备所需的</w:t>
            </w:r>
            <w:r>
              <w:rPr>
                <w:rFonts w:hint="eastAsia"/>
              </w:rPr>
              <w:t>管理人员、技术</w:t>
            </w:r>
            <w:r>
              <w:rPr>
                <w:rFonts w:hint="default"/>
              </w:rPr>
              <w:t>人员</w:t>
            </w:r>
            <w:r>
              <w:rPr>
                <w:rFonts w:hint="eastAsia"/>
              </w:rPr>
              <w:t>和生产操作/服务提供人员：</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w:t>
            </w:r>
            <w:r>
              <w:rPr>
                <w:rFonts w:hint="eastAsia"/>
              </w:rPr>
              <w:t>人力</w:t>
            </w:r>
            <w:r>
              <w:rPr>
                <w:rFonts w:hint="default"/>
              </w:rPr>
              <w:t>资源的能力</w:t>
            </w:r>
            <w:r>
              <w:rPr>
                <w:rFonts w:hint="eastAsia"/>
              </w:rPr>
              <w:t>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w:t>
            </w:r>
            <w:r>
              <w:rPr>
                <w:rFonts w:hint="eastAsia"/>
              </w:rPr>
              <w:t>人力</w:t>
            </w:r>
            <w:r>
              <w:rPr>
                <w:rFonts w:hint="default"/>
              </w:rPr>
              <w:t>资源的能力</w:t>
            </w:r>
            <w:r>
              <w:rPr>
                <w:rFonts w:hint="eastAsia"/>
              </w:rPr>
              <w:t>可基本环境环境管理体系运行，但是还有不足需要补充：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w:t>
            </w:r>
            <w:r>
              <w:rPr>
                <w:rFonts w:hint="eastAsia"/>
              </w:rPr>
              <w:t>人力</w:t>
            </w:r>
            <w:r>
              <w:rPr>
                <w:rFonts w:hint="default"/>
              </w:rPr>
              <w:t>资源的能力</w:t>
            </w:r>
            <w:r>
              <w:rPr>
                <w:rFonts w:hint="eastAsia"/>
              </w:rPr>
              <w:t>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组织应确定、提供并维护所需的基础设施情况：</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lang w:val="en-US" w:eastAsia="zh-CN"/>
              </w:rPr>
              <w:t>办公</w:t>
            </w:r>
            <w:r>
              <w:rPr>
                <w:rFonts w:hint="eastAsia"/>
              </w:rPr>
              <w:t>面积</w:t>
            </w:r>
            <w:r>
              <w:rPr>
                <w:rFonts w:hint="eastAsia"/>
                <w:u w:val="single"/>
              </w:rPr>
              <w:t xml:space="preserve"> </w:t>
            </w:r>
            <w:r>
              <w:rPr>
                <w:rFonts w:hint="eastAsia"/>
                <w:u w:val="single"/>
                <w:lang w:val="en-US" w:eastAsia="zh-CN"/>
              </w:rPr>
              <w:t>约100</w:t>
            </w:r>
            <w:r>
              <w:rPr>
                <w:rFonts w:hint="eastAsia"/>
                <w:u w:val="single"/>
              </w:rPr>
              <w:t xml:space="preserve">     </w:t>
            </w:r>
            <w:r>
              <w:rPr>
                <w:rFonts w:hint="eastAsia"/>
              </w:rPr>
              <w:t>平方米；</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主要</w:t>
            </w:r>
            <w:r>
              <w:rPr>
                <w:rFonts w:hint="eastAsia"/>
                <w:lang w:val="en-US" w:eastAsia="zh-CN"/>
              </w:rPr>
              <w:t>办公</w:t>
            </w:r>
            <w:r>
              <w:rPr>
                <w:rFonts w:hint="eastAsia"/>
              </w:rPr>
              <w:t>设备有：</w:t>
            </w:r>
            <w:r>
              <w:rPr>
                <w:rFonts w:hint="eastAsia"/>
                <w:u w:val="single"/>
              </w:rPr>
              <w:t>电脑、电话、一体机、办公桌椅；          （列举2~4种）</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主要环保设备有：</w:t>
            </w:r>
            <w:r>
              <w:rPr>
                <w:rFonts w:hint="eastAsia"/>
                <w:u w:val="single"/>
              </w:rPr>
              <w:t xml:space="preserve">          </w:t>
            </w:r>
            <w:r>
              <w:rPr>
                <w:rFonts w:hint="eastAsia"/>
                <w:u w:val="single"/>
                <w:lang w:val="en-US" w:eastAsia="zh-CN"/>
              </w:rPr>
              <w:t>消火栓、灭火器</w:t>
            </w:r>
            <w:r>
              <w:rPr>
                <w:rFonts w:hint="eastAsia"/>
                <w:u w:val="single"/>
              </w:rPr>
              <w:t xml:space="preserve">                （列举2~4种）</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■不适用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keepNext w:val="0"/>
              <w:keepLines w:val="0"/>
              <w:suppressLineNumbers w:val="0"/>
              <w:shd w:val="clear" w:color="auto" w:fill="EBF1DE" w:themeFill="accent3" w:themeFillTint="32"/>
              <w:spacing w:before="0" w:beforeAutospacing="0" w:after="0" w:afterAutospacing="0"/>
              <w:ind w:left="0" w:right="0" w:firstLine="1050" w:firstLineChars="500"/>
              <w:rPr>
                <w:rFonts w:hint="default"/>
              </w:rPr>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w:t>
            </w:r>
            <w:r>
              <w:rPr>
                <w:rFonts w:hint="eastAsia"/>
              </w:rPr>
              <w:t>基础设施可满足环境管理体系运行；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w:t>
            </w:r>
            <w:r>
              <w:rPr>
                <w:rFonts w:hint="eastAsia"/>
              </w:rPr>
              <w:t>基础设施可基本满足环境管理体系运行，但是还有不足需要补充：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□组织</w:t>
            </w:r>
            <w:r>
              <w:rPr>
                <w:rFonts w:hint="default"/>
              </w:rPr>
              <w:t>现有</w:t>
            </w:r>
            <w:r>
              <w:rPr>
                <w:rFonts w:hint="eastAsia"/>
              </w:rPr>
              <w:t>基础设施完全不能满足环境管理体系运行，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计量器具的</w:t>
            </w:r>
            <w:r>
              <w:rPr>
                <w:rFonts w:hint="default"/>
              </w:rP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组织已确定在其控制的工作人员所需具备的能力，并采取措施以获得所需的能力，并评价措施的有效性；</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对国家规定持证上岗的人员资质进行了有效的管理。</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组织已确定与环境管理体系相关的内部和外部沟通。</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内部沟通方式：■文件发放 ■会议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外部沟通方式：■宣传材料 ■网站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组织已建立了文件化的环境管理体系。对自编文件的编制、审批、发放、变更和作废进行了控制。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对环境相关的外来文件（法律法规、产品标准）进行了识别和贯彻。</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运行</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hd w:val="clear" w:color="auto" w:fill="EBF1DE" w:themeFill="accent3" w:themeFillTint="32"/>
              <w:spacing w:before="0" w:beforeAutospacing="0" w:after="0" w:afterAutospacing="0"/>
              <w:ind w:left="0" w:right="0"/>
              <w:rPr>
                <w:rFonts w:hint="default"/>
                <w:highlight w:val="yellow"/>
              </w:rPr>
            </w:pPr>
            <w:r>
              <w:rPr>
                <w:rFonts w:hint="eastAsia"/>
              </w:rPr>
              <w:t xml:space="preserve"> ■工艺流程图 ■作业文件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组织建立并实施了与顾客沟通；如产品和服务的环境信息、顾客财产、应急措施等。</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组织对产品和服务的环境要求进行了评审，确保有能力向顾客提供满足要求的产品和服务。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组织建立、实施和保持了适当的设计和开发过程，以确保后续的产品和服务的提供中满足环境相关的法律法规。（适用时）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审核期间内，设计和开发新产品/项目名称：</w:t>
            </w:r>
            <w:r>
              <w:rPr>
                <w:rFonts w:hint="eastAsia"/>
                <w:u w:val="single"/>
              </w:rPr>
              <w:t xml:space="preserve">                           （</w:t>
            </w:r>
            <w:r>
              <w:rPr>
                <w:rFonts w:hint="eastAsia"/>
              </w:rPr>
              <w:t>举1例）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对该设计和开发的项目对环境因素进行了识别和评价，并制订了控制措施。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设计和开发的环境因素控制：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组织对外部提供的过程、产品（危化品）和服务的供方按照对环境因素的影响程度实施控制。</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运输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控制方式：■合同约定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对外部供方的控制：■符合要求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重要环境因素</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控制措施</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能源消耗</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检查水、电消耗达标情况</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资源消耗</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检查纸张、办公用品的使用情况</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废水排放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废气排放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噪声排放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固废排放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粉尘排放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火灾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运行检查，查出消防隐患及时整改</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隐患已整改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其他</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对生产和服务提供过程的环境因素控制■符合要求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组织对生产设备、环保设备、特种设备制订了计划进行了定期的检查、保养和维修；运行完好</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组织在生产和服务提供的整个过程中对危化品特性的进行了标识。</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组织应在生产和服务提供期间对危化品的采购、运输、使用、储存的环境因素进行控制，以确保符合MSDS和法规要求。 </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组织对产品和服务交付后活动的要求。 ■废物回收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制订的应急预案包括：</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火灾应急预案</w:t>
            </w:r>
            <w:r>
              <w:rPr>
                <w:rFonts w:hint="eastAsia"/>
                <w:u w:val="single"/>
              </w:rPr>
              <w:t xml:space="preserve">       </w:t>
            </w:r>
            <w:r>
              <w:rPr>
                <w:rFonts w:hint="eastAsia"/>
              </w:rPr>
              <w:t xml:space="preserve">的演练；并总结了预案的可行性和有效性。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定期评审并修订过程和策划的响应措施，特别是发生紧急情况后或进行试验后；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向环境有关的相关方，包括在组织控制下工作的人员提供应急准备和响应相关的信息和培训。</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绩效评价</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组织已分析和评价通过监视和测量获得的适当的数据和信息。</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组织已建立、实施并保持评价其合规义务履行情况所需的过程。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实施合规性评价的时间：</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组织在适当阶段实施策划的安排，以验证环境法律法规的要求已得到满足。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《环境监测报告》编号：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《建筑消防检测报告》编号：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若是组织多场所/临时场所：（按照组织的实际情况选择）</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内审贯穿了多场所/临时现场，内审的验证结论是正面的。管理者代表相应的职权覆盖了所有的场所。）</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若是多班次操作：（按照组织的实际情况选择）</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对所有班次的现场操作已审核。</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改进</w:t>
            </w: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组织针对环境管理体系运行中的不符合采取了有效纠正和纠正措施。针对下列方面采取了纠正措施：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检测结果不合格 ■自我检查的结果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8748"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000"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537"/>
        <w:gridCol w:w="779"/>
        <w:gridCol w:w="780"/>
        <w:gridCol w:w="779"/>
        <w:gridCol w:w="780"/>
        <w:gridCol w:w="780"/>
        <w:gridCol w:w="779"/>
        <w:gridCol w:w="780"/>
        <w:gridCol w:w="779"/>
        <w:gridCol w:w="780"/>
        <w:gridCol w:w="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447"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44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44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447"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44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37"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447"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bookmarkStart w:id="34" w:name="_GoBack"/>
      <w:bookmarkEnd w:id="34"/>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Comic Sans MS">
    <w:panose1 w:val="030F0702030302020204"/>
    <w:charset w:val="00"/>
    <w:family w:val="script"/>
    <w:pitch w:val="default"/>
    <w:sig w:usb0="00000287" w:usb1="00000013" w:usb2="00000000" w:usb3="00000000" w:csb0="2000009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E54957"/>
    <w:rsid w:val="1CAF34E9"/>
    <w:rsid w:val="1CD5015A"/>
    <w:rsid w:val="4D192C48"/>
    <w:rsid w:val="521B1A3E"/>
    <w:rsid w:val="556D0124"/>
    <w:rsid w:val="6DFC7E77"/>
    <w:rsid w:val="6F0E48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2021-10-15T07:06:28Z</cp:lastPrinted>
  <dcterms:modified xsi:type="dcterms:W3CDTF">2021-10-15T07:21:08Z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