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2"/>
        <w:gridCol w:w="1278"/>
        <w:gridCol w:w="125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四川宸宇川琦钢结构工程有限公司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17.06.01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lang w:val="en-US" w:eastAsia="zh-CN"/>
              </w:rPr>
              <w:t>工艺流程：</w:t>
            </w:r>
            <w:r>
              <w:rPr>
                <w:rFonts w:hint="eastAsia"/>
                <w:sz w:val="22"/>
                <w:lang w:val="en-US" w:eastAsia="zh-CN"/>
              </w:rPr>
              <w:t>开料</w:t>
            </w:r>
            <w:r>
              <w:rPr>
                <w:rFonts w:hint="eastAsia"/>
                <w:sz w:val="22"/>
                <w:lang w:eastAsia="zh-CN"/>
              </w:rPr>
              <w:t>——</w:t>
            </w:r>
            <w:r>
              <w:rPr>
                <w:rFonts w:hint="eastAsia"/>
                <w:sz w:val="22"/>
                <w:lang w:val="en-US" w:eastAsia="zh-CN"/>
              </w:rPr>
              <w:t>焊接——检验——成品入库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特殊过程：焊接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控制措施：操作规程、人员培训、持证上岗、特殊过程能力确认等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中华人民共和国安全生产法、中华人民共和国消防法、中华人民共和国劳动法、中华人民共和国职业病防治法、GB 50205-2020《钢结构工程施工质量验收标准》、GB/T 709-2019《热轧钢板和钢带的尺寸、外形、重量及允许偏差》等标准及客户技术要求。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提供有产品过程、成品检验，检验项目包括：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外形尺寸、强度、材质、热处理等。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160655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25400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2021.10.14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72197F"/>
    <w:rsid w:val="41206F0D"/>
    <w:rsid w:val="61534302"/>
    <w:rsid w:val="7E153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2021-10-17T02:48:29Z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