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0615-2020-QO-2021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嘉兴正通塑业科技有限公司</w:t>
      </w:r>
      <w:bookmarkEnd w:id="1"/>
    </w:p>
    <w:p>
      <w:pPr>
        <w:jc w:val="left"/>
        <w:rPr>
          <w:sz w:val="28"/>
          <w:szCs w:val="28"/>
        </w:rPr>
      </w:pP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w:t>
      </w:r>
      <w:r>
        <w:rPr>
          <w:rFonts w:hint="eastAsia"/>
          <w:sz w:val="28"/>
          <w:szCs w:val="28"/>
          <w:lang w:eastAsia="zh-CN"/>
        </w:rPr>
        <w:t>铸</w:t>
      </w:r>
      <w:r>
        <w:rPr>
          <w:rFonts w:hint="eastAsia"/>
          <w:sz w:val="28"/>
          <w:szCs w:val="28"/>
        </w:rPr>
        <w:t>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嘉兴正通塑业科技有限公司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浙江省嘉兴市嘉善县天凝镇东麟湖路7号2、3幢</w:t>
            </w:r>
          </w:p>
        </w:tc>
        <w:tc>
          <w:tcPr>
            <w:tcW w:w="1242" w:type="dxa"/>
            <w:vMerge w:val="restart"/>
            <w:vAlign w:val="center"/>
          </w:tcPr>
          <w:p>
            <w:r>
              <w:rPr>
                <w:rFonts w:hint="eastAsia"/>
              </w:rPr>
              <w:t>邮编</w:t>
            </w:r>
          </w:p>
        </w:tc>
        <w:tc>
          <w:tcPr>
            <w:tcW w:w="1771" w:type="dxa"/>
            <w:vAlign w:val="top"/>
          </w:tcPr>
          <w:p>
            <w:r>
              <w:t>314109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Q和O生产经营地址（浙江省嘉兴市嘉善县天凝镇东麟湖路7号2、3幢）</w:t>
            </w:r>
            <w:bookmarkStart w:id="20" w:name="_GoBack"/>
            <w:bookmarkEnd w:id="20"/>
          </w:p>
        </w:tc>
        <w:tc>
          <w:tcPr>
            <w:tcW w:w="1242" w:type="dxa"/>
            <w:vMerge w:val="continue"/>
            <w:vAlign w:val="center"/>
          </w:tcPr>
          <w:p/>
        </w:tc>
        <w:tc>
          <w:tcPr>
            <w:tcW w:w="1771" w:type="dxa"/>
            <w:vAlign w:val="top"/>
          </w:tcPr>
          <w:p>
            <w:r>
              <w:t>314109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宋伟强</w:t>
            </w:r>
          </w:p>
        </w:tc>
        <w:tc>
          <w:tcPr>
            <w:tcW w:w="1313" w:type="dxa"/>
            <w:vAlign w:val="center"/>
          </w:tcPr>
          <w:p>
            <w:r>
              <w:rPr>
                <w:rFonts w:hint="eastAsia"/>
              </w:rPr>
              <w:t>电话.</w:t>
            </w:r>
          </w:p>
        </w:tc>
        <w:tc>
          <w:tcPr>
            <w:tcW w:w="2180" w:type="dxa"/>
            <w:vAlign w:val="center"/>
          </w:tcPr>
          <w:p>
            <w:r>
              <w:t>13857305205</w:t>
            </w:r>
          </w:p>
        </w:tc>
        <w:tc>
          <w:tcPr>
            <w:tcW w:w="1242" w:type="dxa"/>
            <w:vAlign w:val="center"/>
          </w:tcPr>
          <w:p>
            <w:r>
              <w:rPr>
                <w:rFonts w:hint="eastAsia"/>
              </w:rPr>
              <w:t>传真</w:t>
            </w:r>
          </w:p>
        </w:tc>
        <w:tc>
          <w:tcPr>
            <w:tcW w:w="1771" w:type="dxa"/>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宋伟强</w:t>
            </w:r>
          </w:p>
        </w:tc>
        <w:tc>
          <w:tcPr>
            <w:tcW w:w="1313" w:type="dxa"/>
            <w:vAlign w:val="center"/>
          </w:tcPr>
          <w:p>
            <w:r>
              <w:rPr>
                <w:rFonts w:hint="eastAsia"/>
              </w:rPr>
              <w:t>管理者代表</w:t>
            </w:r>
          </w:p>
        </w:tc>
        <w:tc>
          <w:tcPr>
            <w:tcW w:w="2180" w:type="dxa"/>
            <w:vAlign w:val="top"/>
          </w:tcPr>
          <w:p>
            <w:r>
              <w:t>熊延亮</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配料—混合—加热—挤出—（缠绕）—成型—冷却—成品</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6" w:name="审核日期"/>
            <w:r>
              <w:rPr>
                <w:rFonts w:hint="eastAsia"/>
              </w:rPr>
              <w:t>2021年10月16日 上午至2021年10月17日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vAlign w:val="top"/>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7" w:name="Q勾选Add1"/>
            <w:r>
              <w:rPr>
                <w:rFonts w:hint="eastAsia"/>
                <w:lang w:val="de-DE"/>
              </w:rPr>
              <w:t>■</w:t>
            </w:r>
            <w:bookmarkEnd w:id="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8" w:name="QJ勾选Add1"/>
            <w:r>
              <w:rPr>
                <w:rFonts w:hint="eastAsia"/>
                <w:lang w:val="de-DE"/>
              </w:rPr>
              <w:t>□</w:t>
            </w:r>
            <w:bookmarkEnd w:id="8"/>
            <w:r>
              <w:rPr>
                <w:rFonts w:hint="eastAsia"/>
                <w:lang w:val="de-DE"/>
              </w:rPr>
              <w:t>GB/T 50430-2017</w:t>
            </w:r>
            <w:r>
              <w:rPr>
                <w:rFonts w:hint="eastAsia"/>
              </w:rPr>
              <w:t xml:space="preserve">    </w:t>
            </w:r>
          </w:p>
          <w:p>
            <w:pPr>
              <w:rPr>
                <w:lang w:val="de-DE"/>
              </w:rPr>
            </w:pPr>
            <w:bookmarkStart w:id="9" w:name="E勾选Add1"/>
            <w:r>
              <w:rPr>
                <w:rFonts w:hint="eastAsia"/>
                <w:lang w:val="de-DE"/>
              </w:rPr>
              <w:t>□</w:t>
            </w:r>
            <w:bookmarkEnd w:id="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0" w:name="S勾选Add1"/>
            <w:r>
              <w:rPr>
                <w:rFonts w:hint="eastAsia"/>
                <w:lang w:val="de-DE"/>
              </w:rPr>
              <w:t>■</w:t>
            </w:r>
            <w:bookmarkEnd w:id="1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1" w:name="二阶段勾选"/>
            <w:r>
              <w:rPr>
                <w:rFonts w:hint="eastAsia"/>
              </w:rPr>
              <w:t>□</w:t>
            </w:r>
            <w:bookmarkEnd w:id="11"/>
            <w:r>
              <w:rPr>
                <w:rFonts w:hint="eastAsia"/>
              </w:rPr>
              <w:t>初审二阶段</w:t>
            </w:r>
            <w:bookmarkStart w:id="12" w:name="监督勾选Add1"/>
            <w:r>
              <w:rPr>
                <w:rFonts w:hint="eastAsia"/>
              </w:rPr>
              <w:t>■</w:t>
            </w:r>
            <w:bookmarkEnd w:id="12"/>
            <w:r>
              <w:rPr>
                <w:rFonts w:hint="eastAsia"/>
              </w:rPr>
              <w:t>监督第</w:t>
            </w:r>
            <w:bookmarkStart w:id="13" w:name="监督次数"/>
            <w:r>
              <w:rPr>
                <w:rFonts w:hint="eastAsia"/>
              </w:rPr>
              <w:t>一</w:t>
            </w:r>
            <w:bookmarkEnd w:id="13"/>
            <w:r>
              <w:rPr>
                <w:rFonts w:hint="eastAsia"/>
              </w:rPr>
              <w:t>次监督审核</w:t>
            </w:r>
            <w:bookmarkStart w:id="14" w:name="再认证勾选"/>
            <w:r>
              <w:rPr>
                <w:rFonts w:hint="eastAsia"/>
              </w:rPr>
              <w:t>□</w:t>
            </w:r>
            <w:bookmarkEnd w:id="14"/>
            <w:r>
              <w:rPr>
                <w:rFonts w:hint="eastAsia"/>
              </w:rPr>
              <w:t>再认证</w:t>
            </w:r>
            <w:bookmarkStart w:id="15" w:name="扩项勾选Add1"/>
            <w:r>
              <w:rPr>
                <w:rFonts w:hint="eastAsia"/>
              </w:rPr>
              <w:t>□</w:t>
            </w:r>
            <w:bookmarkEnd w:id="15"/>
            <w:r>
              <w:rPr>
                <w:rFonts w:hint="eastAsia"/>
              </w:rPr>
              <w:t xml:space="preserve">扩大认证□其他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
            <w:pPr>
              <w:rPr>
                <w:rFonts w:ascii="宋体"/>
                <w:b/>
                <w:color w:val="0000FF"/>
                <w:szCs w:val="21"/>
              </w:rPr>
            </w:pPr>
            <w:r>
              <w:t>Q和O生产经营地址（浙江省嘉兴市嘉善县天凝镇东麟湖路7号2、3幢）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
          <w:p>
            <w:r>
              <w:t>Q：塑料管道管材（PVC-UH给水管、PE给水管、MPP电力通信管、PE燃气管、PE管件）的生产</w:t>
            </w:r>
          </w:p>
          <w:p>
            <w:pPr>
              <w:rPr>
                <w:rFonts w:hint="eastAsia"/>
              </w:rPr>
            </w:pPr>
            <w:r>
              <w:t>O：</w:t>
            </w:r>
            <w:r>
              <w:rPr>
                <w:rFonts w:ascii="宋体" w:hAnsi="宋体" w:cs="宋体"/>
                <w:color w:val="000000"/>
                <w:kern w:val="0"/>
                <w:szCs w:val="21"/>
              </w:rPr>
              <w:t>塑料管道管材（PVC-UH给水管、PE给水管、MPP电力通信管、PE燃气管、PE管件）的生产所涉及场所的相关职业健康安全管理活动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Q：14.02.01</w:t>
            </w:r>
          </w:p>
          <w:p>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lang w:val="en-US" w:eastAsia="zh-CN"/>
              </w:rPr>
              <w:t>2019</w:t>
            </w:r>
            <w:r>
              <w:rPr>
                <w:rFonts w:hint="eastAsia"/>
              </w:rPr>
              <w:t>年</w:t>
            </w:r>
            <w:r>
              <w:rPr>
                <w:rFonts w:hint="eastAsia"/>
                <w:lang w:val="en-US" w:eastAsia="zh-CN"/>
              </w:rPr>
              <w:t xml:space="preserve"> 3</w:t>
            </w:r>
            <w:r>
              <w:rPr>
                <w:rFonts w:hint="eastAsia"/>
              </w:rPr>
              <w:t xml:space="preserve">月 </w:t>
            </w:r>
            <w:r>
              <w:rPr>
                <w:rFonts w:hint="eastAsia"/>
                <w:lang w:val="en-US" w:eastAsia="zh-CN"/>
              </w:rPr>
              <w:t xml:space="preserve"> 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2021</w:t>
            </w:r>
            <w:r>
              <w:rPr>
                <w:rFonts w:hint="eastAsia"/>
              </w:rPr>
              <w:t xml:space="preserve">年 </w:t>
            </w:r>
            <w:r>
              <w:rPr>
                <w:rFonts w:hint="eastAsia"/>
                <w:lang w:val="en-US" w:eastAsia="zh-CN"/>
              </w:rPr>
              <w:t>4</w:t>
            </w:r>
            <w:r>
              <w:rPr>
                <w:rFonts w:hint="eastAsia"/>
              </w:rPr>
              <w:t xml:space="preserve">  月  </w:t>
            </w:r>
            <w:r>
              <w:rPr>
                <w:rFonts w:hint="eastAsia"/>
                <w:lang w:val="en-US" w:eastAsia="zh-CN"/>
              </w:rPr>
              <w:t>8</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 xml:space="preserve">  年 </w:t>
            </w:r>
            <w:r>
              <w:rPr>
                <w:rFonts w:hint="eastAsia"/>
                <w:lang w:val="en-US" w:eastAsia="zh-CN"/>
              </w:rPr>
              <w:t>11</w:t>
            </w:r>
            <w:r>
              <w:rPr>
                <w:rFonts w:hint="eastAsia"/>
              </w:rPr>
              <w:t xml:space="preserve">月 </w:t>
            </w:r>
            <w:r>
              <w:rPr>
                <w:rFonts w:hint="eastAsia"/>
                <w:lang w:val="en-US" w:eastAsia="zh-CN"/>
              </w:rPr>
              <w:t>22</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1925"/>
        <w:gridCol w:w="825"/>
        <w:gridCol w:w="3357"/>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01" w:type="dxa"/>
            <w:shd w:val="clear" w:color="auto" w:fill="F3F3F3"/>
            <w:tcMar>
              <w:left w:w="57" w:type="dxa"/>
              <w:right w:w="57" w:type="dxa"/>
            </w:tcMar>
          </w:tcPr>
          <w:p>
            <w:r>
              <w:rPr>
                <w:rFonts w:hint="eastAsia"/>
              </w:rPr>
              <w:t>组织名称及注册场所地址</w:t>
            </w:r>
          </w:p>
        </w:tc>
        <w:tc>
          <w:tcPr>
            <w:tcW w:w="1925" w:type="dxa"/>
            <w:shd w:val="clear" w:color="auto" w:fill="F3F3F3"/>
          </w:tcPr>
          <w:p>
            <w:r>
              <w:rPr>
                <w:rFonts w:hint="eastAsia"/>
              </w:rPr>
              <w:t>经营场所的地址</w:t>
            </w:r>
          </w:p>
          <w:p>
            <w:r>
              <w:rPr>
                <w:rFonts w:hint="eastAsia"/>
              </w:rPr>
              <w:t>（多现场和临时现场）</w:t>
            </w:r>
          </w:p>
        </w:tc>
        <w:tc>
          <w:tcPr>
            <w:tcW w:w="825" w:type="dxa"/>
            <w:shd w:val="clear" w:color="auto" w:fill="F3F3F3"/>
            <w:tcMar>
              <w:left w:w="57" w:type="dxa"/>
              <w:right w:w="57" w:type="dxa"/>
            </w:tcMar>
          </w:tcPr>
          <w:p>
            <w:r>
              <w:rPr>
                <w:rFonts w:hint="eastAsia"/>
              </w:rPr>
              <w:t>员工人数</w:t>
            </w:r>
          </w:p>
        </w:tc>
        <w:tc>
          <w:tcPr>
            <w:tcW w:w="3357"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1801" w:type="dxa"/>
            <w:vAlign w:val="top"/>
          </w:tcPr>
          <w:p>
            <w:pPr>
              <w:spacing w:before="40" w:after="40"/>
              <w:rPr>
                <w:rFonts w:hint="eastAsia" w:eastAsia="宋体"/>
                <w:lang w:val="en-US" w:eastAsia="zh-CN"/>
              </w:rPr>
            </w:pPr>
            <w:r>
              <w:rPr>
                <w:rFonts w:hint="eastAsia" w:ascii="宋体" w:hAnsi="宋体" w:cs="宋体"/>
                <w:color w:val="000000"/>
                <w:kern w:val="0"/>
                <w:szCs w:val="21"/>
              </w:rPr>
              <w:t>嘉兴正通塑业科技有限公司</w:t>
            </w:r>
            <w:r>
              <w:rPr>
                <w:rFonts w:hint="eastAsia" w:ascii="宋体" w:hAnsi="宋体" w:cs="宋体"/>
                <w:color w:val="000000"/>
                <w:kern w:val="0"/>
                <w:szCs w:val="21"/>
                <w:lang w:val="en-US" w:eastAsia="zh-CN"/>
              </w:rPr>
              <w:t>/</w:t>
            </w:r>
            <w:bookmarkStart w:id="16" w:name="注册地址"/>
            <w:r>
              <w:rPr>
                <w:rFonts w:hint="eastAsia" w:ascii="宋体" w:hAnsi="宋体" w:cs="宋体"/>
                <w:color w:val="000000"/>
                <w:kern w:val="0"/>
                <w:szCs w:val="21"/>
              </w:rPr>
              <w:t>浙江省嘉兴市嘉善县天凝镇东麟湖路7号2、3幢</w:t>
            </w:r>
            <w:bookmarkEnd w:id="16"/>
          </w:p>
        </w:tc>
        <w:tc>
          <w:tcPr>
            <w:tcW w:w="1925" w:type="dxa"/>
            <w:vAlign w:val="top"/>
          </w:tcPr>
          <w:p>
            <w:pPr>
              <w:spacing w:before="40" w:after="40"/>
              <w:rPr>
                <w:lang w:val="de-DE" w:eastAsia="ja-JP"/>
              </w:rPr>
            </w:pPr>
            <w:r>
              <w:rPr>
                <w:rFonts w:hint="eastAsia" w:ascii="宋体" w:hAnsi="宋体" w:cs="宋体"/>
                <w:color w:val="000000"/>
                <w:kern w:val="0"/>
                <w:szCs w:val="21"/>
              </w:rPr>
              <w:t>浙江省嘉兴市嘉善县天凝镇东麟湖路7号2、3幢</w:t>
            </w:r>
          </w:p>
        </w:tc>
        <w:tc>
          <w:tcPr>
            <w:tcW w:w="825" w:type="dxa"/>
            <w:vAlign w:val="center"/>
          </w:tcPr>
          <w:p>
            <w:pPr>
              <w:spacing w:before="40" w:after="40"/>
              <w:rPr>
                <w:rFonts w:hint="default" w:eastAsia="宋体"/>
                <w:lang w:val="en-US" w:eastAsia="zh-CN"/>
              </w:rPr>
            </w:pPr>
            <w:r>
              <w:rPr>
                <w:rFonts w:hint="eastAsia"/>
                <w:lang w:val="en-US" w:eastAsia="zh-CN"/>
              </w:rPr>
              <w:t>45</w:t>
            </w:r>
          </w:p>
        </w:tc>
        <w:tc>
          <w:tcPr>
            <w:tcW w:w="3357" w:type="dxa"/>
            <w:vAlign w:val="center"/>
          </w:tcPr>
          <w:p>
            <w:pPr>
              <w:rPr>
                <w:lang w:eastAsia="ja-JP"/>
              </w:rPr>
            </w:pPr>
            <w:r>
              <w:rPr>
                <w:rFonts w:ascii="宋体" w:hAnsi="宋体" w:cs="宋体"/>
                <w:color w:val="000000"/>
                <w:kern w:val="0"/>
                <w:szCs w:val="21"/>
              </w:rPr>
              <w:t>塑料管道管材（PVC-UH给水管、PE给水管、MPP电力通信管、PE燃气管、PE管件）的生产</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01" w:type="dxa"/>
            <w:vAlign w:val="top"/>
          </w:tcPr>
          <w:p>
            <w:pPr>
              <w:spacing w:before="40" w:after="40"/>
              <w:rPr>
                <w:lang w:eastAsia="ja-JP"/>
              </w:rPr>
            </w:pPr>
            <w:r>
              <w:rPr>
                <w:rFonts w:hint="eastAsia" w:ascii="宋体" w:hAnsi="宋体" w:cs="宋体"/>
                <w:color w:val="000000"/>
                <w:kern w:val="0"/>
                <w:szCs w:val="21"/>
              </w:rPr>
              <w:t>嘉兴正通塑业科技有限公司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浙江省嘉兴市嘉善县天凝镇东麟湖路7号2、3幢</w:t>
            </w:r>
          </w:p>
        </w:tc>
        <w:tc>
          <w:tcPr>
            <w:tcW w:w="1925" w:type="dxa"/>
            <w:vAlign w:val="top"/>
          </w:tcPr>
          <w:p>
            <w:pPr>
              <w:spacing w:before="40" w:after="40"/>
              <w:rPr>
                <w:lang w:eastAsia="ja-JP"/>
              </w:rPr>
            </w:pPr>
            <w:r>
              <w:rPr>
                <w:rFonts w:hint="eastAsia" w:ascii="宋体" w:hAnsi="宋体" w:cs="宋体"/>
                <w:color w:val="000000"/>
                <w:kern w:val="0"/>
                <w:szCs w:val="21"/>
              </w:rPr>
              <w:t>浙江省嘉兴市嘉善县天凝镇东麟湖路7号2、3幢</w:t>
            </w:r>
          </w:p>
        </w:tc>
        <w:tc>
          <w:tcPr>
            <w:tcW w:w="825" w:type="dxa"/>
            <w:vAlign w:val="center"/>
          </w:tcPr>
          <w:p>
            <w:pPr>
              <w:spacing w:before="40" w:after="40"/>
              <w:rPr>
                <w:rFonts w:hint="default"/>
                <w:lang w:val="en-US" w:eastAsia="ja-JP"/>
              </w:rPr>
            </w:pPr>
            <w:r>
              <w:rPr>
                <w:rFonts w:hint="eastAsia" w:eastAsia="黑体"/>
                <w:szCs w:val="21"/>
                <w:lang w:val="en-US" w:eastAsia="zh-CN"/>
              </w:rPr>
              <w:t>45</w:t>
            </w:r>
          </w:p>
        </w:tc>
        <w:tc>
          <w:tcPr>
            <w:tcW w:w="3357" w:type="dxa"/>
            <w:vAlign w:val="center"/>
          </w:tcPr>
          <w:p>
            <w:pPr>
              <w:rPr>
                <w:lang w:eastAsia="ja-JP"/>
              </w:rPr>
            </w:pPr>
            <w:r>
              <w:rPr>
                <w:rFonts w:ascii="宋体" w:hAnsi="宋体" w:cs="宋体"/>
                <w:color w:val="000000"/>
                <w:kern w:val="0"/>
                <w:szCs w:val="21"/>
              </w:rPr>
              <w:t>塑料管道管材（PVC-UH给水管、PE给水管、MPP电力通信管、PE燃气管、PE管件）的生产所涉及场所的相关职业健康安全管理活动</w:t>
            </w:r>
          </w:p>
        </w:tc>
        <w:tc>
          <w:tcPr>
            <w:tcW w:w="669" w:type="dxa"/>
            <w:vAlign w:val="center"/>
          </w:tcPr>
          <w:p>
            <w:pPr>
              <w:rPr>
                <w:lang w:eastAsia="ja-JP"/>
              </w:rPr>
            </w:pPr>
            <w:r>
              <w:rPr>
                <w:rFonts w:ascii="宋体" w:hAnsi="宋体" w:cs="宋体"/>
                <w:color w:val="000000"/>
                <w:kern w:val="0"/>
                <w:szCs w:val="21"/>
              </w:rPr>
              <w:t>GB/T45001-2020 / ISO45001：2018</w:t>
            </w:r>
          </w:p>
        </w:tc>
        <w:tc>
          <w:tcPr>
            <w:tcW w:w="668" w:type="dxa"/>
            <w:shd w:val="clear" w:color="auto" w:fill="FFFFFF"/>
          </w:tcPr>
          <w:p>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801" w:type="dxa"/>
            <w:vAlign w:val="center"/>
          </w:tcPr>
          <w:p>
            <w:pPr>
              <w:rPr>
                <w:lang w:eastAsia="ja-JP"/>
              </w:rPr>
            </w:pPr>
          </w:p>
        </w:tc>
        <w:tc>
          <w:tcPr>
            <w:tcW w:w="1925" w:type="dxa"/>
            <w:vAlign w:val="center"/>
          </w:tcPr>
          <w:p>
            <w:pPr>
              <w:rPr>
                <w:lang w:eastAsia="ja-JP"/>
              </w:rPr>
            </w:pPr>
          </w:p>
        </w:tc>
        <w:tc>
          <w:tcPr>
            <w:tcW w:w="825" w:type="dxa"/>
            <w:vAlign w:val="center"/>
          </w:tcPr>
          <w:p>
            <w:pPr>
              <w:rPr>
                <w:lang w:eastAsia="ja-JP"/>
              </w:rPr>
            </w:pPr>
          </w:p>
        </w:tc>
        <w:tc>
          <w:tcPr>
            <w:tcW w:w="3357"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Q:14.02.01</w:t>
            </w:r>
          </w:p>
          <w:p>
            <w:pPr>
              <w:rPr>
                <w:rFonts w:ascii="Times New Roman" w:hAnsi="Times New Roman" w:eastAsia="宋体" w:cs="Times New Roman"/>
                <w:kern w:val="2"/>
                <w:sz w:val="21"/>
                <w:szCs w:val="24"/>
                <w:lang w:val="en-US" w:eastAsia="zh-CN" w:bidi="ar-SA"/>
              </w:rPr>
            </w:pPr>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□EMS </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一阶段无问题整改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rFonts w:hint="eastAsia"/>
              </w:rPr>
            </w:pPr>
            <w:r>
              <w:rPr>
                <w:rFonts w:hint="eastAsia"/>
              </w:rPr>
              <w:t>体系名称缩写</w:t>
            </w:r>
          </w:p>
        </w:tc>
        <w:tc>
          <w:tcPr>
            <w:tcW w:w="1698" w:type="dxa"/>
          </w:tcPr>
          <w:p>
            <w:pPr>
              <w:rPr>
                <w:rFonts w:hint="eastAsia"/>
              </w:rPr>
            </w:pPr>
            <w:r>
              <w:rPr>
                <w:rFonts w:hint="eastAsia"/>
              </w:rPr>
              <w:t>一般不符合数量</w:t>
            </w:r>
          </w:p>
        </w:tc>
        <w:tc>
          <w:tcPr>
            <w:tcW w:w="1717" w:type="dxa"/>
          </w:tcPr>
          <w:p>
            <w:pPr>
              <w:rPr>
                <w:rFonts w:hint="eastAsia"/>
              </w:rPr>
            </w:pPr>
            <w:r>
              <w:rPr>
                <w:rFonts w:hint="eastAsia"/>
              </w:rPr>
              <w:t>严重不符合数量</w:t>
            </w:r>
          </w:p>
        </w:tc>
        <w:tc>
          <w:tcPr>
            <w:tcW w:w="1560" w:type="dxa"/>
          </w:tcPr>
          <w:p>
            <w:pPr>
              <w:rPr>
                <w:rFonts w:hint="eastAsia"/>
              </w:rPr>
            </w:pPr>
            <w:r>
              <w:rPr>
                <w:rFonts w:hint="eastAsia"/>
              </w:rPr>
              <w:t>不符合项总数</w:t>
            </w:r>
          </w:p>
        </w:tc>
        <w:tc>
          <w:tcPr>
            <w:tcW w:w="296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QMS</w:t>
            </w:r>
          </w:p>
        </w:tc>
        <w:tc>
          <w:tcPr>
            <w:tcW w:w="1698" w:type="dxa"/>
          </w:tcPr>
          <w:p>
            <w:pPr>
              <w:rPr>
                <w:rFonts w:hint="eastAsia" w:eastAsia="宋体"/>
                <w:lang w:val="en-US" w:eastAsia="zh-CN"/>
              </w:rPr>
            </w:pPr>
          </w:p>
        </w:tc>
        <w:tc>
          <w:tcPr>
            <w:tcW w:w="1717" w:type="dxa"/>
          </w:tcPr>
          <w:p>
            <w:pPr>
              <w:rPr>
                <w:rFonts w:hint="eastAsia"/>
              </w:rPr>
            </w:pPr>
          </w:p>
        </w:tc>
        <w:tc>
          <w:tcPr>
            <w:tcW w:w="1560" w:type="dxa"/>
          </w:tcPr>
          <w:p>
            <w:pPr>
              <w:rPr>
                <w:rFonts w:hint="eastAsia"/>
              </w:rPr>
            </w:pPr>
          </w:p>
        </w:tc>
        <w:tc>
          <w:tcPr>
            <w:tcW w:w="2965" w:type="dxa"/>
          </w:tcPr>
          <w:p>
            <w:pPr>
              <w:rPr>
                <w:rFonts w:hint="eastAsia"/>
              </w:rPr>
            </w:pPr>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50430</w:t>
            </w:r>
          </w:p>
        </w:tc>
        <w:tc>
          <w:tcPr>
            <w:tcW w:w="1698" w:type="dxa"/>
          </w:tcPr>
          <w:p>
            <w:pPr>
              <w:rPr>
                <w:rFonts w:hint="eastAsia"/>
              </w:rPr>
            </w:pPr>
          </w:p>
        </w:tc>
        <w:tc>
          <w:tcPr>
            <w:tcW w:w="1717" w:type="dxa"/>
          </w:tcPr>
          <w:p>
            <w:pPr>
              <w:rPr>
                <w:rFonts w:hint="eastAsia"/>
              </w:rPr>
            </w:pPr>
          </w:p>
        </w:tc>
        <w:tc>
          <w:tcPr>
            <w:tcW w:w="1560" w:type="dxa"/>
          </w:tcPr>
          <w:p>
            <w:pPr>
              <w:rPr>
                <w:rFonts w:hint="eastAsia"/>
              </w:rPr>
            </w:pPr>
          </w:p>
        </w:tc>
        <w:tc>
          <w:tcPr>
            <w:tcW w:w="2965" w:type="dxa"/>
          </w:tcPr>
          <w:p>
            <w:pPr>
              <w:rPr>
                <w:rFonts w:hint="eastAsia"/>
              </w:rPr>
            </w:pP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EMS</w:t>
            </w:r>
          </w:p>
        </w:tc>
        <w:tc>
          <w:tcPr>
            <w:tcW w:w="1698" w:type="dxa"/>
          </w:tcPr>
          <w:p>
            <w:pPr>
              <w:rPr>
                <w:rFonts w:hint="eastAsia"/>
              </w:rPr>
            </w:pPr>
          </w:p>
        </w:tc>
        <w:tc>
          <w:tcPr>
            <w:tcW w:w="1717" w:type="dxa"/>
          </w:tcPr>
          <w:p>
            <w:pPr>
              <w:rPr>
                <w:rFonts w:hint="eastAsia"/>
              </w:rPr>
            </w:pPr>
          </w:p>
        </w:tc>
        <w:tc>
          <w:tcPr>
            <w:tcW w:w="1560" w:type="dxa"/>
          </w:tcPr>
          <w:p>
            <w:pPr>
              <w:rPr>
                <w:rFonts w:hint="eastAsia"/>
              </w:rPr>
            </w:pPr>
          </w:p>
        </w:tc>
        <w:tc>
          <w:tcPr>
            <w:tcW w:w="2965" w:type="dxa"/>
          </w:tcPr>
          <w:p>
            <w:pPr>
              <w:rPr>
                <w:rFonts w:hint="eastAsia"/>
              </w:rPr>
            </w:pP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OHSMS</w:t>
            </w:r>
          </w:p>
        </w:tc>
        <w:tc>
          <w:tcPr>
            <w:tcW w:w="1698" w:type="dxa"/>
          </w:tcPr>
          <w:p>
            <w:pPr>
              <w:rPr>
                <w:rFonts w:hint="eastAsia" w:eastAsia="宋体"/>
                <w:lang w:val="en-US" w:eastAsia="zh-CN"/>
              </w:rPr>
            </w:pPr>
          </w:p>
        </w:tc>
        <w:tc>
          <w:tcPr>
            <w:tcW w:w="1717" w:type="dxa"/>
          </w:tcPr>
          <w:p>
            <w:pPr>
              <w:rPr>
                <w:rFonts w:hint="eastAsia"/>
              </w:rPr>
            </w:pPr>
          </w:p>
        </w:tc>
        <w:tc>
          <w:tcPr>
            <w:tcW w:w="1560" w:type="dxa"/>
          </w:tcPr>
          <w:p>
            <w:pPr>
              <w:rPr>
                <w:rFonts w:hint="eastAsia"/>
              </w:rPr>
            </w:pPr>
          </w:p>
        </w:tc>
        <w:tc>
          <w:tcPr>
            <w:tcW w:w="2965" w:type="dxa"/>
          </w:tcPr>
          <w:p>
            <w:pPr>
              <w:rPr>
                <w:rFonts w:hint="eastAsia"/>
              </w:rPr>
            </w:pPr>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7" w:name="Q勾选Add2"/>
            <w:r>
              <w:rPr>
                <w:rFonts w:hint="eastAsia"/>
              </w:rPr>
              <w:t>■</w:t>
            </w:r>
            <w:bookmarkEnd w:id="17"/>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w:t>
            </w:r>
            <w:r>
              <w:rPr>
                <w:rFonts w:hint="eastAsia"/>
                <w:lang w:eastAsia="zh-CN"/>
              </w:rPr>
              <w:t>铸</w:t>
            </w:r>
            <w:r>
              <w:rPr>
                <w:rFonts w:hint="eastAsia"/>
              </w:rPr>
              <w:t>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8" w:name="E勾选Add2"/>
            <w:r>
              <w:rPr>
                <w:rFonts w:hint="eastAsia"/>
              </w:rPr>
              <w:t>□</w:t>
            </w:r>
            <w:bookmarkEnd w:id="1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 xml:space="preserve">产品运输 </w:t>
            </w:r>
            <w:r>
              <w:rPr>
                <w:rFonts w:hint="eastAsia"/>
                <w:lang w:eastAsia="zh-CN"/>
              </w:rPr>
              <w:t>☑</w:t>
            </w:r>
            <w:r>
              <w:rPr>
                <w:rFonts w:hint="eastAsia"/>
              </w:rPr>
              <w:t>设备维修</w:t>
            </w:r>
          </w:p>
          <w:p>
            <w:pPr>
              <w:shd w:val="clear" w:color="auto" w:fill="C7DAF1" w:themeFill="text2" w:themeFillTint="32"/>
              <w:spacing w:before="40" w:after="40"/>
            </w:pPr>
            <w:r>
              <w:rPr>
                <w:rFonts w:hint="eastAsia"/>
                <w:lang w:eastAsia="zh-CN"/>
              </w:rPr>
              <w:t>□</w:t>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Times New Roman" w:hAnsi="Times New Roman" w:cs="Times New Roman"/>
                <w:szCs w:val="22"/>
                <w:u w:val="single"/>
              </w:rPr>
              <w:t>诚信至上，质量为主，优质高效；安全第一，保障健康，减少风险；全员参与，遵守法规，持续改进</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r>
              <w:rPr>
                <w:rFonts w:hint="eastAsia"/>
              </w:rPr>
              <w:t>—</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cs="Times New Roman"/>
                      <w:lang w:val="en-US" w:eastAsia="zh-CN"/>
                    </w:rPr>
                    <w:t>生产及服务</w:t>
                  </w:r>
                  <w:r>
                    <w:rPr>
                      <w:rFonts w:hint="eastAsia" w:ascii="Times New Roman" w:hAnsi="Times New Roman" w:eastAsia="宋体" w:cs="Times New Roman"/>
                      <w:lang w:eastAsia="zh-CN"/>
                    </w:rPr>
                    <w:t>质量不良造成客户流失</w:t>
                  </w:r>
                </w:p>
              </w:tc>
              <w:tc>
                <w:tcPr>
                  <w:tcW w:w="3965" w:type="dxa"/>
                </w:tcPr>
                <w:p>
                  <w:pPr>
                    <w:pStyle w:val="26"/>
                    <w:snapToGrid w:val="0"/>
                    <w:ind w:left="106" w:leftChars="50" w:hanging="1"/>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1.质量管理部门、业务管理部门需与客户沟通好服务质量要求，并编制作业指导书，确保公司与客户双方质量要求一致；</w:t>
                  </w:r>
                </w:p>
                <w:p>
                  <w:pPr>
                    <w:pStyle w:val="26"/>
                    <w:snapToGrid w:val="0"/>
                    <w:ind w:left="113" w:leftChars="54"/>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r>
                    <w:rPr>
                      <w:rFonts w:hint="eastAsia" w:ascii="Times New Roman" w:hAnsi="Times New Roman" w:cs="Times New Roman"/>
                      <w:kern w:val="2"/>
                      <w:sz w:val="21"/>
                      <w:szCs w:val="24"/>
                      <w:lang w:val="en-US" w:eastAsia="zh-CN" w:bidi="ar-SA"/>
                    </w:rPr>
                    <w:t>生产</w:t>
                  </w:r>
                  <w:r>
                    <w:rPr>
                      <w:rFonts w:hint="eastAsia" w:ascii="Times New Roman" w:hAnsi="Times New Roman" w:eastAsia="宋体" w:cs="Times New Roman"/>
                      <w:kern w:val="2"/>
                      <w:sz w:val="21"/>
                      <w:szCs w:val="24"/>
                      <w:lang w:val="en-US" w:eastAsia="zh-CN" w:bidi="ar-SA"/>
                    </w:rPr>
                    <w:t>过程中落实全过程检验，合格后方可放行，并做好记录。</w:t>
                  </w:r>
                </w:p>
                <w:p>
                  <w:pPr>
                    <w:pStyle w:val="26"/>
                    <w:snapToGrid w:val="0"/>
                    <w:ind w:left="105" w:leftChars="50" w:firstLine="10" w:firstLineChars="5"/>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3.外购物资需做好检验、功能测试及检验或资质证明验证。</w:t>
                  </w:r>
                </w:p>
                <w:p>
                  <w:pPr>
                    <w:shd w:val="clear" w:color="auto" w:fill="C7DAF1" w:themeFill="text2" w:themeFillTint="32"/>
                  </w:pPr>
                  <w:r>
                    <w:rPr>
                      <w:rFonts w:hint="eastAsia" w:ascii="Times New Roman" w:hAnsi="Times New Roman" w:eastAsia="宋体" w:cs="Times New Roman"/>
                      <w:kern w:val="2"/>
                      <w:sz w:val="21"/>
                      <w:szCs w:val="24"/>
                      <w:lang w:val="en-US" w:eastAsia="zh-CN" w:bidi="ar-SA"/>
                    </w:rPr>
                    <w:t>4.负责业务、质量或技术的人员不定期拜访客户，沟通客户要求，确保服务质量满足客户要求。</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szCs w:val="22"/>
                    </w:rPr>
                    <w:t xml:space="preserve">产品一次交验合格率≥96% </w:t>
                  </w:r>
                </w:p>
              </w:tc>
              <w:tc>
                <w:tcPr>
                  <w:tcW w:w="3136"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cs="Times New Roman"/>
                      <w:color w:val="000000"/>
                      <w:szCs w:val="18"/>
                      <w:lang w:val="en-US" w:eastAsia="zh-CN"/>
                    </w:rPr>
                    <w:t>一次</w:t>
                  </w:r>
                  <w:r>
                    <w:rPr>
                      <w:rFonts w:hint="eastAsia" w:ascii="Times New Roman" w:hAnsi="Times New Roman" w:eastAsia="宋体" w:cs="Times New Roman"/>
                      <w:color w:val="000000"/>
                      <w:szCs w:val="18"/>
                    </w:rPr>
                    <w:t>合格数/交付总数*100%</w:t>
                  </w:r>
                </w:p>
              </w:tc>
              <w:tc>
                <w:tcPr>
                  <w:tcW w:w="1350" w:type="dxa"/>
                  <w:shd w:val="clear" w:color="auto" w:fill="auto"/>
                  <w:vAlign w:val="top"/>
                </w:tcPr>
                <w:p>
                  <w:pPr>
                    <w:widowControl/>
                    <w:spacing w:before="40"/>
                    <w:jc w:val="left"/>
                    <w:rPr>
                      <w:rFonts w:hint="default" w:eastAsia="宋体"/>
                      <w:lang w:val="en-US" w:eastAsia="zh-CN"/>
                    </w:rPr>
                  </w:pPr>
                  <w:r>
                    <w:rPr>
                      <w:rFonts w:hint="eastAsia"/>
                      <w:lang w:val="en-US" w:eastAsia="zh-CN"/>
                    </w:rPr>
                    <w:t>生产部</w:t>
                  </w:r>
                </w:p>
              </w:tc>
              <w:tc>
                <w:tcPr>
                  <w:tcW w:w="1774" w:type="dxa"/>
                  <w:shd w:val="clear" w:color="auto" w:fill="auto"/>
                  <w:vAlign w:val="center"/>
                </w:tcPr>
                <w:p>
                  <w:pPr>
                    <w:widowControl/>
                    <w:spacing w:before="40"/>
                    <w:jc w:val="center"/>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100</w:t>
                  </w:r>
                  <w:r>
                    <w:rPr>
                      <w:rFonts w:hint="eastAsia"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顾客满意率≥9</w:t>
                  </w:r>
                  <w:r>
                    <w:rPr>
                      <w:rFonts w:hint="eastAsia" w:ascii="Times New Roman" w:hAnsi="Times New Roman" w:eastAsia="宋体" w:cs="Times New Roman"/>
                      <w:color w:val="000000"/>
                      <w:szCs w:val="18"/>
                      <w:lang w:val="en-US" w:eastAsia="zh-CN"/>
                    </w:rPr>
                    <w:t>5</w:t>
                  </w:r>
                  <w:r>
                    <w:rPr>
                      <w:rFonts w:hint="eastAsia" w:ascii="Times New Roman" w:hAnsi="Times New Roman" w:eastAsia="宋体" w:cs="Times New Roman"/>
                      <w:color w:val="000000"/>
                      <w:szCs w:val="18"/>
                    </w:rPr>
                    <w:t>分</w:t>
                  </w:r>
                </w:p>
              </w:tc>
              <w:tc>
                <w:tcPr>
                  <w:tcW w:w="3136"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满意得分和/总调查数</w:t>
                  </w:r>
                </w:p>
              </w:tc>
              <w:tc>
                <w:tcPr>
                  <w:tcW w:w="1350" w:type="dxa"/>
                  <w:shd w:val="clear" w:color="auto" w:fill="auto"/>
                  <w:vAlign w:val="top"/>
                </w:tcPr>
                <w:p>
                  <w:pPr>
                    <w:widowControl/>
                    <w:spacing w:before="40"/>
                    <w:jc w:val="left"/>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widowControl/>
                    <w:spacing w:before="40"/>
                    <w:jc w:val="center"/>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96</w:t>
                  </w:r>
                  <w:r>
                    <w:rPr>
                      <w:rFonts w:hint="eastAsia" w:cs="Times New Roman"/>
                      <w:color w:val="000000"/>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pPr>
                </w:p>
              </w:tc>
              <w:tc>
                <w:tcPr>
                  <w:tcW w:w="3136" w:type="dxa"/>
                  <w:shd w:val="clear" w:color="auto" w:fill="auto"/>
                  <w:vAlign w:val="center"/>
                </w:tcPr>
                <w:p>
                  <w:pPr>
                    <w:widowControl/>
                    <w:spacing w:before="40"/>
                    <w:jc w:val="left"/>
                    <w:rPr>
                      <w:rFonts w:ascii="宋体" w:hAnsi="宋体"/>
                    </w:rPr>
                  </w:pPr>
                </w:p>
              </w:tc>
              <w:tc>
                <w:tcPr>
                  <w:tcW w:w="1350" w:type="dxa"/>
                  <w:shd w:val="clear" w:color="auto" w:fill="auto"/>
                  <w:vAlign w:val="top"/>
                </w:tcPr>
                <w:p>
                  <w:pPr>
                    <w:widowControl/>
                    <w:spacing w:before="40"/>
                    <w:jc w:val="left"/>
                    <w:rPr>
                      <w:rFonts w:ascii="宋体" w:hAnsi="宋体"/>
                    </w:rPr>
                  </w:pPr>
                </w:p>
              </w:tc>
              <w:tc>
                <w:tcPr>
                  <w:tcW w:w="1774" w:type="dxa"/>
                  <w:shd w:val="clear" w:color="auto" w:fill="auto"/>
                  <w:vAlign w:val="center"/>
                </w:tcPr>
                <w:p>
                  <w:pPr>
                    <w:widowControl/>
                    <w:spacing w:before="4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pPr>
                </w:p>
              </w:tc>
              <w:tc>
                <w:tcPr>
                  <w:tcW w:w="3136" w:type="dxa"/>
                  <w:shd w:val="clear" w:color="auto" w:fill="auto"/>
                  <w:vAlign w:val="center"/>
                </w:tcPr>
                <w:p>
                  <w:pPr>
                    <w:widowControl/>
                    <w:spacing w:before="40"/>
                    <w:jc w:val="left"/>
                    <w:rPr>
                      <w:rFonts w:ascii="宋体" w:hAnsi="宋体"/>
                    </w:rPr>
                  </w:pPr>
                </w:p>
              </w:tc>
              <w:tc>
                <w:tcPr>
                  <w:tcW w:w="1350" w:type="dxa"/>
                  <w:shd w:val="clear" w:color="auto" w:fill="auto"/>
                  <w:vAlign w:val="top"/>
                </w:tcPr>
                <w:p>
                  <w:pPr>
                    <w:widowControl/>
                    <w:spacing w:before="40"/>
                    <w:jc w:val="left"/>
                    <w:rPr>
                      <w:rFonts w:ascii="宋体" w:hAnsi="宋体"/>
                    </w:rPr>
                  </w:pPr>
                </w:p>
              </w:tc>
              <w:tc>
                <w:tcPr>
                  <w:tcW w:w="1774" w:type="dxa"/>
                  <w:shd w:val="clear" w:color="auto" w:fill="auto"/>
                  <w:vAlign w:val="center"/>
                </w:tcPr>
                <w:p>
                  <w:pPr>
                    <w:widowControl/>
                    <w:spacing w:before="4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4"/>
                    <w:tabs>
                      <w:tab w:val="left" w:pos="1200"/>
                    </w:tabs>
                    <w:spacing w:line="500" w:lineRule="exact"/>
                    <w:jc w:val="left"/>
                  </w:pPr>
                </w:p>
              </w:tc>
              <w:tc>
                <w:tcPr>
                  <w:tcW w:w="3136" w:type="dxa"/>
                  <w:shd w:val="clear" w:color="auto" w:fill="auto"/>
                  <w:vAlign w:val="center"/>
                </w:tcPr>
                <w:p>
                  <w:pPr>
                    <w:rPr>
                      <w:rFonts w:ascii="宋体" w:hAnsi="宋体"/>
                    </w:rPr>
                  </w:pPr>
                </w:p>
              </w:tc>
              <w:tc>
                <w:tcPr>
                  <w:tcW w:w="1350" w:type="dxa"/>
                  <w:shd w:val="clear" w:color="auto" w:fill="auto"/>
                  <w:vAlign w:val="top"/>
                </w:tcPr>
                <w:p>
                  <w:pPr>
                    <w:widowControl/>
                    <w:spacing w:before="40"/>
                    <w:jc w:val="left"/>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4"/>
                    <w:tabs>
                      <w:tab w:val="left" w:pos="1200"/>
                    </w:tabs>
                    <w:spacing w:line="500" w:lineRule="exact"/>
                    <w:jc w:val="left"/>
                  </w:pPr>
                </w:p>
              </w:tc>
              <w:tc>
                <w:tcPr>
                  <w:tcW w:w="3136" w:type="dxa"/>
                  <w:shd w:val="clear" w:color="auto" w:fill="auto"/>
                  <w:vAlign w:val="center"/>
                </w:tcPr>
                <w:p>
                  <w:pPr>
                    <w:rPr>
                      <w:rFonts w:ascii="宋体" w:hAnsi="宋体"/>
                    </w:rPr>
                  </w:pPr>
                </w:p>
              </w:tc>
              <w:tc>
                <w:tcPr>
                  <w:tcW w:w="1350" w:type="dxa"/>
                  <w:shd w:val="clear" w:color="auto" w:fill="auto"/>
                  <w:vAlign w:val="top"/>
                </w:tcPr>
                <w:p>
                  <w:pPr>
                    <w:widowControl/>
                    <w:spacing w:before="40"/>
                    <w:jc w:val="left"/>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w:t>
            </w:r>
            <w:r>
              <w:rPr>
                <w:rFonts w:hint="eastAsia"/>
                <w:lang w:eastAsia="zh-CN"/>
              </w:rPr>
              <w:t>铸</w:t>
            </w:r>
            <w:r>
              <w:rPr>
                <w:rFonts w:hint="eastAsia"/>
              </w:rPr>
              <w:t>面</w:t>
            </w:r>
            <w:r>
              <w:rPr>
                <w:rFonts w:hint="eastAsia"/>
                <w:color w:val="auto"/>
              </w:rPr>
              <w:t>积</w:t>
            </w:r>
            <w:r>
              <w:rPr>
                <w:rFonts w:hint="eastAsia"/>
                <w:color w:val="auto"/>
                <w:u w:val="single"/>
              </w:rPr>
              <w:t xml:space="preserve"> </w:t>
            </w:r>
            <w:r>
              <w:rPr>
                <w:rFonts w:hint="eastAsia"/>
                <w:color w:val="auto"/>
                <w:u w:val="single"/>
                <w:lang w:val="en-US" w:eastAsia="zh-CN"/>
              </w:rPr>
              <w:t>6600</w:t>
            </w:r>
            <w:r>
              <w:rPr>
                <w:rFonts w:hint="eastAsia"/>
                <w:color w:val="auto"/>
                <w:u w:val="single"/>
              </w:rPr>
              <w:t xml:space="preserve"> </w:t>
            </w:r>
            <w:r>
              <w:rPr>
                <w:rFonts w:hint="eastAsia"/>
                <w:color w:val="auto"/>
              </w:rPr>
              <w:t>平方米；生产车间</w:t>
            </w:r>
            <w:r>
              <w:rPr>
                <w:rFonts w:hint="eastAsia"/>
                <w:color w:val="auto"/>
                <w:u w:val="single"/>
              </w:rPr>
              <w:t xml:space="preserve"> </w:t>
            </w:r>
            <w:r>
              <w:rPr>
                <w:rFonts w:hint="eastAsia"/>
                <w:color w:val="auto"/>
                <w:u w:val="single"/>
                <w:lang w:val="en-US" w:eastAsia="zh-CN"/>
              </w:rPr>
              <w:t>2</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个；实验室</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挤塑机、</w:t>
            </w:r>
            <w:r>
              <w:rPr>
                <w:rFonts w:hint="eastAsia" w:ascii="Times New Roman" w:hAnsi="Times New Roman" w:eastAsia="宋体" w:cs="Times New Roman"/>
                <w:szCs w:val="22"/>
                <w:u w:val="single"/>
                <w:lang w:val="en-US" w:eastAsia="zh-CN"/>
              </w:rPr>
              <w:t>混料机、管材生产线、粉碎机</w:t>
            </w:r>
            <w:r>
              <w:rPr>
                <w:rFonts w:hint="eastAsia"/>
                <w:color w:val="000000"/>
                <w:highlight w:val="none"/>
                <w:u w:val="single"/>
                <w:lang w:val="en-US" w:eastAsia="zh-CN"/>
              </w:rPr>
              <w:t>等</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国家强检的计量器具有：代表卡尺、外径千分尺、数显卡尺</w:t>
            </w:r>
            <w:r>
              <w:rPr>
                <w:rFonts w:hint="eastAsia"/>
                <w:color w:val="FF0000"/>
                <w:u w:val="single"/>
                <w:lang w:val="en-US" w:eastAsia="zh-CN"/>
              </w:rPr>
              <w:t xml:space="preserve"> </w:t>
            </w:r>
            <w:r>
              <w:rPr>
                <w:rFonts w:hint="eastAsia"/>
                <w:u w:val="single"/>
                <w:lang w:val="en-US" w:eastAsia="zh-CN"/>
              </w:rPr>
              <w:t xml:space="preserve"> </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274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pPr>
                    <w:shd w:val="clear" w:color="auto" w:fill="C7DAF1" w:themeFill="text2" w:themeFillTint="32"/>
                    <w:jc w:val="left"/>
                    <w:rPr>
                      <w:sz w:val="20"/>
                      <w:szCs w:val="22"/>
                      <w:highlight w:val="none"/>
                    </w:rPr>
                  </w:pPr>
                  <w:r>
                    <w:rPr>
                      <w:rFonts w:hint="eastAsia"/>
                      <w:sz w:val="20"/>
                      <w:szCs w:val="22"/>
                      <w:highlight w:val="none"/>
                    </w:rPr>
                    <w:t>产品/服务名称</w:t>
                  </w:r>
                </w:p>
              </w:tc>
              <w:tc>
                <w:tcPr>
                  <w:tcW w:w="2747" w:type="dxa"/>
                </w:tcPr>
                <w:p>
                  <w:pPr>
                    <w:shd w:val="clear" w:color="auto" w:fill="C7DAF1" w:themeFill="text2" w:themeFillTint="32"/>
                    <w:jc w:val="left"/>
                    <w:rPr>
                      <w:sz w:val="20"/>
                      <w:szCs w:val="22"/>
                      <w:highlight w:val="none"/>
                    </w:rPr>
                  </w:pPr>
                  <w:r>
                    <w:rPr>
                      <w:rFonts w:hint="eastAsia"/>
                      <w:sz w:val="20"/>
                      <w:szCs w:val="22"/>
                      <w:highlight w:val="none"/>
                    </w:rPr>
                    <w:t>关键过程</w:t>
                  </w:r>
                </w:p>
              </w:tc>
              <w:tc>
                <w:tcPr>
                  <w:tcW w:w="3265" w:type="dxa"/>
                </w:tcPr>
                <w:p>
                  <w:pPr>
                    <w:shd w:val="clear" w:color="auto" w:fill="C7DAF1" w:themeFill="text2" w:themeFillTint="32"/>
                    <w:jc w:val="left"/>
                    <w:rPr>
                      <w:sz w:val="20"/>
                      <w:szCs w:val="22"/>
                      <w:highlight w:val="none"/>
                    </w:rPr>
                  </w:pPr>
                  <w:r>
                    <w:rPr>
                      <w:rFonts w:hint="eastAsia"/>
                      <w:sz w:val="20"/>
                      <w:szCs w:val="22"/>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pPr>
                    <w:shd w:val="clear" w:color="auto" w:fill="C7DAF1" w:themeFill="text2" w:themeFillTint="32"/>
                    <w:jc w:val="left"/>
                    <w:rPr>
                      <w:rFonts w:hint="default" w:eastAsia="宋体"/>
                      <w:sz w:val="20"/>
                      <w:szCs w:val="22"/>
                      <w:highlight w:val="none"/>
                      <w:lang w:val="en-US" w:eastAsia="zh-CN"/>
                    </w:rPr>
                  </w:pPr>
                  <w:r>
                    <w:rPr>
                      <w:sz w:val="20"/>
                    </w:rPr>
                    <w:t>塑料管道管材（PVC-UH给水管、PE给水管、MPP电力通信管、PE燃气管、PE管件</w:t>
                  </w:r>
                </w:p>
              </w:tc>
              <w:tc>
                <w:tcPr>
                  <w:tcW w:w="2747" w:type="dxa"/>
                </w:tcPr>
                <w:p>
                  <w:pPr>
                    <w:shd w:val="clear" w:color="auto" w:fill="C7DAF1" w:themeFill="text2" w:themeFillTint="32"/>
                    <w:jc w:val="left"/>
                    <w:rPr>
                      <w:sz w:val="20"/>
                      <w:szCs w:val="22"/>
                      <w:highlight w:val="none"/>
                    </w:rPr>
                  </w:pPr>
                  <w:r>
                    <w:rPr>
                      <w:rFonts w:hint="eastAsia" w:ascii="Times New Roman" w:hAnsi="Times New Roman" w:eastAsia="宋体" w:cs="Times New Roman"/>
                      <w:szCs w:val="22"/>
                      <w:lang w:val="en-US" w:eastAsia="zh-CN"/>
                    </w:rPr>
                    <w:t>挤出工序</w:t>
                  </w:r>
                </w:p>
              </w:tc>
              <w:tc>
                <w:tcPr>
                  <w:tcW w:w="3265" w:type="dxa"/>
                </w:tcPr>
                <w:p>
                  <w:pPr>
                    <w:shd w:val="clear" w:color="auto" w:fill="C7DAF1" w:themeFill="text2" w:themeFillTint="32"/>
                    <w:jc w:val="left"/>
                    <w:rPr>
                      <w:rFonts w:hint="default" w:eastAsia="宋体"/>
                      <w:sz w:val="20"/>
                      <w:szCs w:val="22"/>
                      <w:highlight w:val="none"/>
                      <w:lang w:val="en-US" w:eastAsia="zh-CN"/>
                    </w:rPr>
                  </w:pPr>
                  <w:r>
                    <w:rPr>
                      <w:rFonts w:hint="eastAsia"/>
                      <w:sz w:val="20"/>
                      <w:szCs w:val="22"/>
                      <w:highlight w:val="none"/>
                      <w:lang w:val="en-US" w:eastAsia="zh-CN"/>
                    </w:rPr>
                    <w:t>设备</w:t>
                  </w:r>
                  <w:r>
                    <w:rPr>
                      <w:rFonts w:hint="eastAsia" w:eastAsia="宋体"/>
                      <w:sz w:val="20"/>
                      <w:szCs w:val="22"/>
                      <w:highlight w:val="none"/>
                      <w:lang w:val="en-US" w:eastAsia="zh-CN"/>
                    </w:rPr>
                    <w:t>选择、</w:t>
                  </w:r>
                  <w:r>
                    <w:rPr>
                      <w:rFonts w:hint="eastAsia"/>
                      <w:sz w:val="20"/>
                      <w:szCs w:val="22"/>
                      <w:highlight w:val="none"/>
                      <w:lang w:val="en-US" w:eastAsia="zh-CN"/>
                    </w:rPr>
                    <w:t>工艺</w:t>
                  </w:r>
                  <w:r>
                    <w:rPr>
                      <w:rFonts w:hint="eastAsia" w:eastAsia="宋体"/>
                      <w:sz w:val="20"/>
                      <w:szCs w:val="22"/>
                      <w:highlight w:val="none"/>
                      <w:lang w:val="en-US" w:eastAsia="zh-CN"/>
                    </w:rPr>
                    <w:t>参数</w:t>
                  </w:r>
                  <w:r>
                    <w:rPr>
                      <w:rFonts w:hint="eastAsia"/>
                      <w:sz w:val="20"/>
                      <w:szCs w:val="22"/>
                      <w:highlight w:val="none"/>
                      <w:lang w:val="en-US" w:eastAsia="zh-CN"/>
                    </w:rPr>
                    <w:t>、作业指导书、人员培训</w:t>
                  </w:r>
                  <w:r>
                    <w:rPr>
                      <w:rFonts w:hint="eastAsia" w:eastAsia="宋体"/>
                      <w:sz w:val="20"/>
                      <w:szCs w:val="22"/>
                      <w:highlight w:val="none"/>
                      <w:lang w:val="en-US" w:eastAsia="zh-CN"/>
                    </w:rPr>
                    <w:t xml:space="preserve">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pPr>
                    <w:shd w:val="clear" w:color="auto" w:fill="C7DAF1" w:themeFill="text2" w:themeFillTint="32"/>
                    <w:jc w:val="left"/>
                    <w:rPr>
                      <w:sz w:val="20"/>
                      <w:szCs w:val="22"/>
                      <w:highlight w:val="none"/>
                    </w:rPr>
                  </w:pPr>
                </w:p>
              </w:tc>
              <w:tc>
                <w:tcPr>
                  <w:tcW w:w="2747" w:type="dxa"/>
                </w:tcPr>
                <w:p>
                  <w:pPr>
                    <w:shd w:val="clear" w:color="auto" w:fill="C7DAF1" w:themeFill="text2" w:themeFillTint="32"/>
                    <w:jc w:val="left"/>
                    <w:rPr>
                      <w:sz w:val="20"/>
                      <w:szCs w:val="22"/>
                      <w:highlight w:val="none"/>
                    </w:rPr>
                  </w:pPr>
                </w:p>
              </w:tc>
              <w:tc>
                <w:tcPr>
                  <w:tcW w:w="3265" w:type="dxa"/>
                </w:tcPr>
                <w:p>
                  <w:pPr>
                    <w:shd w:val="clear" w:color="auto" w:fill="C7DAF1" w:themeFill="text2" w:themeFillTint="32"/>
                    <w:jc w:val="left"/>
                    <w:rPr>
                      <w:rFonts w:hint="eastAsia" w:eastAsia="宋体"/>
                      <w:sz w:val="20"/>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pPr>
                    <w:shd w:val="clear" w:color="auto" w:fill="C7DAF1" w:themeFill="text2" w:themeFillTint="32"/>
                    <w:jc w:val="left"/>
                    <w:rPr>
                      <w:sz w:val="20"/>
                      <w:szCs w:val="22"/>
                      <w:highlight w:val="red"/>
                    </w:rPr>
                  </w:pPr>
                </w:p>
              </w:tc>
              <w:tc>
                <w:tcPr>
                  <w:tcW w:w="2747" w:type="dxa"/>
                </w:tcPr>
                <w:p>
                  <w:pPr>
                    <w:shd w:val="clear" w:color="auto" w:fill="C7DAF1" w:themeFill="text2" w:themeFillTint="32"/>
                    <w:jc w:val="left"/>
                    <w:rPr>
                      <w:sz w:val="20"/>
                      <w:szCs w:val="22"/>
                      <w:highlight w:val="red"/>
                    </w:rPr>
                  </w:pPr>
                </w:p>
              </w:tc>
              <w:tc>
                <w:tcPr>
                  <w:tcW w:w="3265" w:type="dxa"/>
                </w:tcPr>
                <w:p>
                  <w:pPr>
                    <w:shd w:val="clear" w:color="auto" w:fill="C7DAF1" w:themeFill="text2" w:themeFillTint="32"/>
                    <w:jc w:val="left"/>
                    <w:rPr>
                      <w:sz w:val="20"/>
                      <w:szCs w:val="22"/>
                      <w:highlight w:val="red"/>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szCs w:val="22"/>
                <w:lang w:val="en-US" w:eastAsia="zh-CN"/>
              </w:rPr>
              <w:t>挤出工序</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提供有测绘报告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10"/>
        <w:tblpPr w:leftFromText="180" w:rightFromText="180" w:vertAnchor="text" w:horzAnchor="page" w:tblpX="1067" w:tblpY="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autoSpaceDE w:val="0"/>
        <w:autoSpaceDN w:val="0"/>
        <w:adjustRightInd w:val="0"/>
        <w:snapToGrid w:val="0"/>
        <w:rPr>
          <w:rFonts w:eastAsia="微软雅黑"/>
          <w:b/>
          <w:bCs/>
          <w:color w:val="0000FF"/>
          <w:sz w:val="20"/>
          <w:szCs w:val="20"/>
        </w:rPr>
      </w:pPr>
      <w:r>
        <w:br w:type="page"/>
      </w: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□建立机制 </w:t>
            </w:r>
            <w:r>
              <w:rPr>
                <w:rFonts w:hint="eastAsia"/>
                <w:lang w:eastAsia="zh-CN"/>
              </w:rPr>
              <w:t>☑</w:t>
            </w:r>
            <w:r>
              <w:rPr>
                <w:rFonts w:hint="eastAsia"/>
              </w:rPr>
              <w:t>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right="210"/>
              <w:rPr>
                <w:u w:val="single"/>
              </w:rPr>
            </w:pPr>
            <w:r>
              <w:rPr>
                <w:rFonts w:hint="eastAsia"/>
              </w:rPr>
              <w:t>最高管理者制定了文件化的职业健康安全管理体系方针：</w:t>
            </w:r>
            <w:r>
              <w:rPr>
                <w:rFonts w:hint="eastAsia"/>
                <w:u w:val="single"/>
              </w:rPr>
              <w:t>诚信至上，质量为主，优质高效；安全第一，保障健康，减少风险；全员参与，遵守法规，持续改进</w:t>
            </w:r>
            <w:r>
              <w:rPr>
                <w:rFonts w:hint="eastAsia" w:ascii="宋体" w:hAnsi="宋体" w:cs="宋体"/>
                <w:sz w:val="24"/>
              </w:rPr>
              <w:t>。</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行政部—生产部</w:t>
            </w:r>
          </w:p>
          <w:p>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b/>
                <w:sz w:val="24"/>
                <w:u w:val="single"/>
              </w:rPr>
              <w:t>吴俊</w:t>
            </w: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作业过程</w:t>
                  </w:r>
                </w:p>
              </w:tc>
              <w:tc>
                <w:tcPr>
                  <w:tcW w:w="3965" w:type="dxa"/>
                </w:tcPr>
                <w:p>
                  <w:pPr>
                    <w:rPr>
                      <w:rFonts w:hint="default" w:eastAsia="宋体"/>
                      <w:lang w:val="en-US" w:eastAsia="zh-CN"/>
                    </w:rPr>
                  </w:pPr>
                  <w:r>
                    <w:rPr>
                      <w:rFonts w:hint="eastAsia"/>
                      <w:lang w:val="en-US" w:eastAsia="zh-CN"/>
                    </w:rPr>
                    <w:t>制定安全操作规程、安全措施并严格执行</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pPr>
              <w:rPr>
                <w:rFonts w:hint="default" w:eastAsia="宋体"/>
                <w:lang w:val="en-US" w:eastAsia="zh-CN"/>
              </w:rPr>
            </w:pPr>
            <w:r>
              <w:rPr>
                <w:rFonts w:hint="eastAsia"/>
                <w:lang w:eastAsia="zh-CN"/>
              </w:rPr>
              <w:t>☑</w:t>
            </w:r>
            <w:r>
              <w:rPr>
                <w:rFonts w:hint="eastAsia"/>
              </w:rPr>
              <w:t xml:space="preserve">职业病体检报告书日期：   </w:t>
            </w:r>
            <w:r>
              <w:rPr>
                <w:rFonts w:hint="eastAsia"/>
                <w:lang w:val="en-US" w:eastAsia="zh-CN"/>
              </w:rPr>
              <w:t>善二医职检字第2021-006</w:t>
            </w:r>
            <w:r>
              <w:rPr>
                <w:rFonts w:hint="eastAsia"/>
              </w:rPr>
              <w:t>号    2021.</w:t>
            </w:r>
            <w:r>
              <w:rPr>
                <w:rFonts w:hint="eastAsia"/>
                <w:lang w:val="en-US" w:eastAsia="zh-CN"/>
              </w:rPr>
              <w:t>1.8</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预防职业健康安全事故的发生</w:t>
                  </w:r>
                </w:p>
                <w:p>
                  <w:pPr>
                    <w:widowControl/>
                    <w:spacing w:before="40"/>
                    <w:jc w:val="left"/>
                    <w:rPr>
                      <w:rFonts w:hint="eastAsia" w:ascii="Times New Roman" w:hAnsi="Times New Roman" w:eastAsia="宋体" w:cs="Times New Roman"/>
                      <w:color w:val="000000"/>
                      <w:kern w:val="2"/>
                      <w:sz w:val="21"/>
                      <w:szCs w:val="18"/>
                      <w:lang w:val="en-US" w:eastAsia="zh-CN" w:bidi="ar-SA"/>
                    </w:rPr>
                  </w:pPr>
                </w:p>
              </w:tc>
              <w:tc>
                <w:tcPr>
                  <w:tcW w:w="2619"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eastAsia="宋体" w:cs="Times New Roman"/>
                      <w:color w:val="000000"/>
                      <w:kern w:val="2"/>
                      <w:sz w:val="21"/>
                      <w:szCs w:val="18"/>
                      <w:lang w:val="en-US" w:eastAsia="zh-CN" w:bidi="ar-SA"/>
                    </w:rPr>
                    <w:t>安全培训、应急演练、</w:t>
                  </w:r>
                  <w:r>
                    <w:rPr>
                      <w:rFonts w:hint="eastAsia" w:cs="Times New Roman"/>
                      <w:color w:val="000000"/>
                      <w:kern w:val="2"/>
                      <w:sz w:val="21"/>
                      <w:szCs w:val="18"/>
                      <w:lang w:val="en-US" w:eastAsia="zh-CN" w:bidi="ar-SA"/>
                    </w:rPr>
                    <w:t>操作规程、</w:t>
                  </w:r>
                  <w:r>
                    <w:rPr>
                      <w:rFonts w:hint="eastAsia" w:eastAsia="宋体" w:cs="Times New Roman"/>
                      <w:color w:val="000000"/>
                      <w:kern w:val="2"/>
                      <w:sz w:val="21"/>
                      <w:szCs w:val="18"/>
                      <w:lang w:val="en-US" w:eastAsia="zh-CN" w:bidi="ar-SA"/>
                    </w:rPr>
                    <w:t>个体防护、日常检查</w:t>
                  </w:r>
                </w:p>
              </w:tc>
              <w:tc>
                <w:tcPr>
                  <w:tcW w:w="1155" w:type="dxa"/>
                  <w:shd w:val="clear" w:color="auto" w:fill="auto"/>
                  <w:vAlign w:val="top"/>
                </w:tcPr>
                <w:p>
                  <w:pPr>
                    <w:widowControl/>
                    <w:spacing w:before="40"/>
                    <w:jc w:val="left"/>
                    <w:rPr>
                      <w:rFonts w:hint="default" w:eastAsia="宋体"/>
                      <w:lang w:val="en-US" w:eastAsia="zh-CN"/>
                    </w:rPr>
                  </w:pPr>
                  <w:r>
                    <w:rPr>
                      <w:rFonts w:hint="eastAsia"/>
                      <w:lang w:val="en-US" w:eastAsia="zh-CN"/>
                    </w:rPr>
                    <w:t>生产部</w:t>
                  </w:r>
                </w:p>
              </w:tc>
              <w:tc>
                <w:tcPr>
                  <w:tcW w:w="2486" w:type="dxa"/>
                  <w:shd w:val="clear" w:color="auto" w:fill="auto"/>
                  <w:vAlign w:val="top"/>
                </w:tcPr>
                <w:p>
                  <w:pPr>
                    <w:widowControl/>
                    <w:spacing w:before="40"/>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火灾事故为0</w:t>
                  </w:r>
                </w:p>
              </w:tc>
              <w:tc>
                <w:tcPr>
                  <w:tcW w:w="2619" w:type="dxa"/>
                  <w:shd w:val="clear" w:color="auto" w:fill="auto"/>
                  <w:vAlign w:val="center"/>
                </w:tcPr>
                <w:p>
                  <w:pPr>
                    <w:rPr>
                      <w:rFonts w:hint="eastAsia" w:ascii="Times New Roman" w:hAnsi="Times New Roman" w:eastAsia="宋体" w:cs="Times New Roman"/>
                      <w:color w:val="000000"/>
                      <w:kern w:val="2"/>
                      <w:sz w:val="21"/>
                      <w:szCs w:val="18"/>
                      <w:lang w:val="en-US" w:eastAsia="zh-CN" w:bidi="ar-SA"/>
                    </w:rPr>
                  </w:pPr>
                  <w:r>
                    <w:rPr>
                      <w:rFonts w:hint="eastAsia" w:eastAsia="宋体" w:cs="Times New Roman"/>
                      <w:color w:val="000000"/>
                      <w:kern w:val="2"/>
                      <w:sz w:val="21"/>
                      <w:szCs w:val="18"/>
                      <w:lang w:val="en-US" w:eastAsia="zh-CN" w:bidi="ar-SA"/>
                    </w:rPr>
                    <w:t>安全培训、应急演练、日常检查</w:t>
                  </w:r>
                </w:p>
              </w:tc>
              <w:tc>
                <w:tcPr>
                  <w:tcW w:w="1155" w:type="dxa"/>
                  <w:shd w:val="clear" w:color="auto" w:fill="auto"/>
                  <w:vAlign w:val="top"/>
                </w:tcPr>
                <w:p>
                  <w:pPr>
                    <w:widowControl/>
                    <w:spacing w:before="40"/>
                    <w:jc w:val="left"/>
                    <w:rPr>
                      <w:rFonts w:ascii="宋体" w:hAnsi="宋体"/>
                    </w:rPr>
                  </w:pPr>
                  <w:r>
                    <w:rPr>
                      <w:rFonts w:hint="eastAsia"/>
                      <w:lang w:val="en-US" w:eastAsia="zh-CN"/>
                    </w:rPr>
                    <w:t>生产部</w:t>
                  </w:r>
                </w:p>
              </w:tc>
              <w:tc>
                <w:tcPr>
                  <w:tcW w:w="2486" w:type="dxa"/>
                  <w:shd w:val="clear" w:color="auto" w:fill="auto"/>
                  <w:vAlign w:val="top"/>
                </w:tcPr>
                <w:p>
                  <w:pPr>
                    <w:widowControl/>
                    <w:spacing w:before="40"/>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4"/>
                    <w:tabs>
                      <w:tab w:val="left" w:pos="1200"/>
                    </w:tabs>
                    <w:spacing w:line="500" w:lineRule="exact"/>
                    <w:jc w:val="left"/>
                  </w:p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hint="eastAsia"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w:t>
            </w:r>
            <w:r>
              <w:rPr>
                <w:rFonts w:hint="eastAsia"/>
                <w:lang w:eastAsia="zh-CN"/>
              </w:rPr>
              <w:t>铸</w:t>
            </w:r>
            <w:r>
              <w:rPr>
                <w:rFonts w:hint="eastAsia"/>
              </w:rPr>
              <w:t>面积</w:t>
            </w:r>
            <w:r>
              <w:rPr>
                <w:rFonts w:hint="eastAsia"/>
                <w:u w:val="single"/>
                <w:lang w:val="en-US" w:eastAsia="zh-CN"/>
              </w:rPr>
              <w:t>6600</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u w:val="single"/>
              </w:rPr>
            </w:pPr>
            <w:r>
              <w:rPr>
                <w:rFonts w:hint="eastAsia"/>
              </w:rPr>
              <w:t>主要生产设备有：</w:t>
            </w:r>
            <w:r>
              <w:rPr>
                <w:rFonts w:hint="eastAsia"/>
                <w:lang w:val="en-US" w:eastAsia="zh-CN"/>
              </w:rPr>
              <w:t>挤出机、</w:t>
            </w:r>
            <w:r>
              <w:rPr>
                <w:rFonts w:hint="eastAsia" w:ascii="宋体" w:hAnsi="宋体"/>
                <w:color w:val="000000"/>
                <w:spacing w:val="-10"/>
                <w:sz w:val="21"/>
                <w:szCs w:val="21"/>
                <w:lang w:val="en-US" w:eastAsia="zh-CN"/>
              </w:rPr>
              <w:t>混料机、管材生产线、粉碎机</w:t>
            </w:r>
            <w:r>
              <w:rPr>
                <w:rFonts w:hint="eastAsia"/>
                <w:color w:val="000000"/>
                <w:highlight w:val="none"/>
                <w:u w:val="single"/>
                <w:lang w:val="en-US" w:eastAsia="zh-CN"/>
              </w:rPr>
              <w:t>等</w:t>
            </w:r>
            <w:r>
              <w:rPr>
                <w:rFonts w:hint="eastAsia"/>
                <w:u w:val="single"/>
              </w:rPr>
              <w:t xml:space="preserve"> （列举2~4种）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建</w:t>
            </w:r>
            <w:r>
              <w:rPr>
                <w:rFonts w:hint="eastAsia"/>
                <w:lang w:eastAsia="zh-CN"/>
              </w:rPr>
              <w:t>铸</w:t>
            </w:r>
            <w:r>
              <w:rPr>
                <w:rFonts w:hint="eastAsia"/>
              </w:rPr>
              <w:t xml:space="preserve">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rPr>
                <w:rFonts w:hint="default" w:eastAsia="宋体"/>
                <w:lang w:val="en-US" w:eastAsia="zh-CN"/>
              </w:rPr>
            </w:pPr>
            <w:r>
              <w:rPr>
                <w:rFonts w:hint="eastAsia"/>
              </w:rPr>
              <w:t>职业健康安全监测的计量器具有</w:t>
            </w:r>
            <w:r>
              <w:rPr>
                <w:rFonts w:hint="eastAsia"/>
                <w:color w:val="auto"/>
              </w:rPr>
              <w:t>：带表卡尺、外径千分尺、数显卡尺</w:t>
            </w:r>
            <w:r>
              <w:rPr>
                <w:rFonts w:hint="eastAsia"/>
                <w:color w:val="auto"/>
                <w:lang w:val="en-US" w:eastAsia="zh-CN"/>
              </w:rPr>
              <w:t>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建</w:t>
            </w:r>
            <w:r>
              <w:rPr>
                <w:rFonts w:hint="eastAsia"/>
                <w:lang w:eastAsia="zh-CN"/>
              </w:rPr>
              <w:t>铸</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安全培训、应急预案</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叉车、行车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16</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w:t>
            </w:r>
            <w:r>
              <w:rPr>
                <w:rFonts w:hint="eastAsia"/>
                <w:lang w:eastAsia="zh-CN"/>
              </w:rPr>
              <w:t>铸</w:t>
            </w:r>
            <w:r>
              <w:rPr>
                <w:rFonts w:hint="eastAsia"/>
              </w:rPr>
              <w:t>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D232FE"/>
    <w:rsid w:val="11631666"/>
    <w:rsid w:val="19DB4B6A"/>
    <w:rsid w:val="2EEF260A"/>
    <w:rsid w:val="3089136F"/>
    <w:rsid w:val="3F0216D7"/>
    <w:rsid w:val="49253E85"/>
    <w:rsid w:val="49BC3738"/>
    <w:rsid w:val="50955D91"/>
    <w:rsid w:val="571B48DF"/>
    <w:rsid w:val="73D5739C"/>
    <w:rsid w:val="73D95B7C"/>
    <w:rsid w:val="7E9C1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2021-10-22T03:58:41Z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