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1049-2021-Q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江苏瀚龙建材科技有限公司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vAlign w:val="top"/>
          </w:tcPr>
          <w:p>
            <w:r>
              <w:t>江苏瀚龙建材科技有限公司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徐州市云龙区绿地商务城 (B7-1地块) officeF号楼 1-1003</w:t>
            </w:r>
          </w:p>
        </w:tc>
        <w:tc>
          <w:tcPr>
            <w:tcW w:w="1242" w:type="dxa"/>
            <w:vMerge w:val="restart"/>
            <w:vAlign w:val="center"/>
          </w:tcPr>
          <w:p>
            <w:r>
              <w:rPr>
                <w:rFonts w:hint="eastAsia"/>
              </w:rPr>
              <w:t>邮编</w:t>
            </w:r>
          </w:p>
        </w:tc>
        <w:tc>
          <w:tcPr>
            <w:tcW w:w="1771" w:type="dxa"/>
            <w:vAlign w:val="top"/>
          </w:tcPr>
          <w:p>
            <w:r>
              <w:t>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徐州市云龙区绿地商务城 (B7-1地块) officeF号楼 1-1003</w:t>
            </w:r>
          </w:p>
        </w:tc>
        <w:tc>
          <w:tcPr>
            <w:tcW w:w="1242" w:type="dxa"/>
            <w:vMerge w:val="continue"/>
            <w:vAlign w:val="center"/>
          </w:tcPr>
          <w:p/>
        </w:tc>
        <w:tc>
          <w:tcPr>
            <w:tcW w:w="1771" w:type="dxa"/>
            <w:vAlign w:val="top"/>
          </w:tcPr>
          <w:p>
            <w:r>
              <w:t>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王桂龙</w:t>
            </w:r>
          </w:p>
        </w:tc>
        <w:tc>
          <w:tcPr>
            <w:tcW w:w="1313" w:type="dxa"/>
            <w:vAlign w:val="center"/>
          </w:tcPr>
          <w:p>
            <w:r>
              <w:rPr>
                <w:rFonts w:hint="eastAsia"/>
              </w:rPr>
              <w:t>电话.</w:t>
            </w:r>
          </w:p>
        </w:tc>
        <w:tc>
          <w:tcPr>
            <w:tcW w:w="2180" w:type="dxa"/>
            <w:vAlign w:val="center"/>
          </w:tcPr>
          <w:p>
            <w:r>
              <w:t>0516-67085898</w:t>
            </w:r>
          </w:p>
        </w:tc>
        <w:tc>
          <w:tcPr>
            <w:tcW w:w="1242" w:type="dxa"/>
            <w:vAlign w:val="center"/>
          </w:tcPr>
          <w:p>
            <w:r>
              <w:rPr>
                <w:rFonts w:hint="eastAsia"/>
              </w:rPr>
              <w:t>传真</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王桂龙</w:t>
            </w:r>
          </w:p>
        </w:tc>
        <w:tc>
          <w:tcPr>
            <w:tcW w:w="1313" w:type="dxa"/>
            <w:vAlign w:val="center"/>
          </w:tcPr>
          <w:p>
            <w:r>
              <w:rPr>
                <w:rFonts w:hint="eastAsia"/>
              </w:rPr>
              <w:t>管理者代表</w:t>
            </w:r>
          </w:p>
        </w:tc>
        <w:tc>
          <w:tcPr>
            <w:tcW w:w="2180" w:type="dxa"/>
            <w:vAlign w:val="top"/>
          </w:tcPr>
          <w:p>
            <w:r>
              <w:t>王桂龙</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rPr>
            </w:pPr>
          </w:p>
          <w:p>
            <w:pPr>
              <w:rPr>
                <w:rFonts w:hint="eastAsia"/>
                <w:color w:val="000000"/>
              </w:rPr>
            </w:pPr>
            <w:r>
              <w:rPr>
                <w:rFonts w:hint="eastAsia"/>
                <w:color w:val="000000"/>
              </w:rPr>
              <w:t>客户下订单→采购→</w:t>
            </w:r>
            <w:r>
              <w:rPr>
                <w:rFonts w:hint="eastAsia"/>
                <w:color w:val="000000"/>
                <w:lang w:val="en-US" w:eastAsia="zh-CN"/>
              </w:rPr>
              <w:t>检验</w:t>
            </w:r>
            <w:r>
              <w:rPr>
                <w:rFonts w:hint="eastAsia"/>
                <w:color w:val="000000"/>
              </w:rPr>
              <w:t>→</w:t>
            </w:r>
            <w:r>
              <w:rPr>
                <w:rFonts w:hint="eastAsia"/>
                <w:color w:val="000000"/>
                <w:lang w:val="en-US" w:eastAsia="zh-CN"/>
              </w:rPr>
              <w:t>入库</w:t>
            </w:r>
            <w:r>
              <w:rPr>
                <w:rFonts w:hint="eastAsia"/>
                <w:color w:val="000000"/>
              </w:rPr>
              <w:t>→交付→售后服务</w:t>
            </w:r>
          </w:p>
          <w:p>
            <w:pPr>
              <w:pStyle w:val="11"/>
            </w:pP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2021年10月14日 上午至2021年10月14日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vAlign w:val="top"/>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6" w:name="Q勾选Add1"/>
            <w:r>
              <w:rPr>
                <w:rFonts w:hint="eastAsia"/>
                <w:lang w:val="de-DE"/>
              </w:rPr>
              <w:t>■</w:t>
            </w:r>
            <w:bookmarkEnd w:id="6"/>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7" w:name="QJ勾选Add1"/>
            <w:r>
              <w:rPr>
                <w:rFonts w:hint="eastAsia"/>
                <w:lang w:val="de-DE"/>
              </w:rPr>
              <w:t>□</w:t>
            </w:r>
            <w:bookmarkEnd w:id="7"/>
            <w:r>
              <w:rPr>
                <w:rFonts w:hint="eastAsia"/>
                <w:lang w:val="de-DE"/>
              </w:rPr>
              <w:t>GB/T 50430-2017</w:t>
            </w:r>
            <w:r>
              <w:rPr>
                <w:rFonts w:hint="eastAsia"/>
              </w:rPr>
              <w:t xml:space="preserve">    </w:t>
            </w:r>
          </w:p>
          <w:p>
            <w:pPr>
              <w:rPr>
                <w:lang w:val="de-DE"/>
              </w:rPr>
            </w:pPr>
            <w:bookmarkStart w:id="8" w:name="E勾选Add1"/>
            <w:r>
              <w:rPr>
                <w:rFonts w:hint="eastAsia"/>
                <w:lang w:val="de-DE"/>
              </w:rPr>
              <w:t>□</w:t>
            </w:r>
            <w:bookmarkEnd w:id="8"/>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9" w:name="S勾选Add1"/>
            <w:r>
              <w:rPr>
                <w:rFonts w:hint="eastAsia"/>
                <w:lang w:val="de-DE"/>
              </w:rPr>
              <w:t>□</w:t>
            </w:r>
            <w:bookmarkEnd w:id="9"/>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审核类型</w:t>
            </w:r>
          </w:p>
        </w:tc>
        <w:tc>
          <w:tcPr>
            <w:tcW w:w="7831" w:type="dxa"/>
            <w:gridSpan w:val="3"/>
            <w:tcMar>
              <w:left w:w="113" w:type="dxa"/>
            </w:tcMar>
            <w:vAlign w:val="top"/>
          </w:tcPr>
          <w:p>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r>
              <w:rPr>
                <w:rFonts w:hint="eastAsia"/>
              </w:rPr>
              <w:t>审核范围</w:t>
            </w:r>
          </w:p>
          <w:p/>
        </w:tc>
        <w:tc>
          <w:tcPr>
            <w:tcW w:w="5625" w:type="dxa"/>
            <w:gridSpan w:val="3"/>
            <w:vMerge w:val="restart"/>
            <w:vAlign w:val="center"/>
          </w:tcPr>
          <w:p>
            <w:r>
              <w:t>预应力桩顶机械连接件的销售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29.10.03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lang w:val="en-US" w:eastAsia="zh-CN"/>
              </w:rPr>
            </w:pPr>
            <w:r>
              <w:rPr>
                <w:rFonts w:hint="eastAsia"/>
                <w:lang w:val="en-US" w:eastAsia="zh-CN"/>
              </w:rPr>
              <w:t xml:space="preserve"> 2021年1月5日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lang w:val="en-US" w:eastAsia="zh-CN"/>
              </w:rPr>
            </w:pPr>
            <w:r>
              <w:rPr>
                <w:rFonts w:hint="eastAsia"/>
                <w:lang w:val="en-US" w:eastAsia="zh-CN"/>
              </w:rPr>
              <w:t xml:space="preserve"> </w:t>
            </w:r>
          </w:p>
        </w:tc>
        <w:tc>
          <w:tcPr>
            <w:tcW w:w="1883" w:type="dxa"/>
            <w:vAlign w:val="center"/>
          </w:tcPr>
          <w:p>
            <w:r>
              <w:rPr>
                <w:rFonts w:hint="eastAsia"/>
              </w:rPr>
              <w:t>认证证书有效期</w:t>
            </w:r>
          </w:p>
          <w:p>
            <w:r>
              <w:rPr>
                <w:rFonts w:hint="eastAsia"/>
              </w:rPr>
              <w:t>（初审除外）</w:t>
            </w:r>
          </w:p>
        </w:tc>
        <w:tc>
          <w:tcPr>
            <w:tcW w:w="3215" w:type="dxa"/>
            <w:vAlign w:val="center"/>
          </w:tcP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keepNext w:val="0"/>
              <w:keepLines w:val="0"/>
              <w:widowControl/>
              <w:suppressLineNumbers w:val="0"/>
              <w:jc w:val="left"/>
            </w:pPr>
            <w:bookmarkStart w:id="10" w:name="注册地址"/>
            <w:r>
              <w:rPr>
                <w:rFonts w:hint="eastAsia" w:ascii="宋体" w:hAnsi="宋体" w:eastAsia="宋体" w:cs="宋体"/>
                <w:color w:val="000000"/>
                <w:kern w:val="0"/>
                <w:sz w:val="20"/>
                <w:szCs w:val="20"/>
                <w:lang w:val="en-US" w:eastAsia="zh-CN" w:bidi="ar"/>
              </w:rPr>
              <w:t>江苏瀚龙建材科技有限公司</w:t>
            </w:r>
            <w:r>
              <w:rPr>
                <w:rFonts w:hint="eastAsia" w:ascii="宋体" w:hAnsi="宋体" w:cs="宋体"/>
                <w:color w:val="000000"/>
                <w:kern w:val="0"/>
                <w:szCs w:val="21"/>
                <w:lang w:val="en-US" w:eastAsia="zh-CN"/>
              </w:rPr>
              <w:t>/</w:t>
            </w:r>
            <w:bookmarkEnd w:id="10"/>
            <w:r>
              <w:rPr>
                <w:rFonts w:hint="eastAsia" w:ascii="宋体" w:hAnsi="宋体" w:eastAsia="宋体" w:cs="宋体"/>
                <w:color w:val="000000"/>
                <w:kern w:val="0"/>
                <w:sz w:val="24"/>
                <w:szCs w:val="24"/>
                <w:lang w:val="en-US" w:eastAsia="zh-CN" w:bidi="ar"/>
              </w:rPr>
              <w:t>徐州市云龙区绿地商务城 (B7-1 地块) officeF 号楼 1-1003</w:t>
            </w:r>
          </w:p>
          <w:p>
            <w:pPr>
              <w:keepNext w:val="0"/>
              <w:keepLines w:val="0"/>
              <w:widowControl/>
              <w:suppressLineNumbers w:val="0"/>
              <w:jc w:val="left"/>
              <w:rPr>
                <w:lang w:val="de-DE" w:eastAsia="ja-JP"/>
              </w:rPr>
            </w:pPr>
          </w:p>
        </w:tc>
        <w:tc>
          <w:tcPr>
            <w:tcW w:w="2267" w:type="dxa"/>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徐州市云龙区绿地商务城 (B7-1 地块) officeF 号楼 1-1003</w:t>
            </w:r>
          </w:p>
          <w:p>
            <w:pPr>
              <w:rPr>
                <w:rFonts w:hint="eastAsia" w:eastAsia="宋体"/>
                <w:lang w:val="en-US" w:eastAsia="zh-CN"/>
              </w:rPr>
            </w:pPr>
          </w:p>
        </w:tc>
        <w:tc>
          <w:tcPr>
            <w:tcW w:w="571" w:type="dxa"/>
            <w:vAlign w:val="center"/>
          </w:tcPr>
          <w:p>
            <w:pPr>
              <w:rPr>
                <w:rFonts w:hint="default" w:eastAsia="宋体"/>
                <w:lang w:val="en-US" w:eastAsia="zh-CN"/>
              </w:rPr>
            </w:pPr>
            <w:r>
              <w:rPr>
                <w:rFonts w:hint="eastAsia"/>
                <w:lang w:val="en-US" w:eastAsia="zh-CN"/>
              </w:rPr>
              <w:t>9</w:t>
            </w:r>
          </w:p>
        </w:tc>
        <w:tc>
          <w:tcPr>
            <w:tcW w:w="2803" w:type="dxa"/>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预应力桩顶机械连接件的销售</w:t>
            </w:r>
          </w:p>
          <w:p>
            <w:pPr>
              <w:rPr>
                <w:lang w:eastAsia="ja-JP"/>
              </w:rPr>
            </w:pPr>
          </w:p>
        </w:tc>
        <w:tc>
          <w:tcPr>
            <w:tcW w:w="669" w:type="dxa"/>
            <w:vAlign w:val="center"/>
          </w:tcPr>
          <w:p>
            <w:pPr>
              <w:rPr>
                <w:lang w:eastAsia="ja-JP"/>
              </w:rPr>
            </w:pPr>
            <w:bookmarkStart w:id="11" w:name="审核依据"/>
            <w:r>
              <w:rPr>
                <w:rFonts w:hint="eastAsia" w:ascii="宋体" w:hAnsi="宋体"/>
                <w:snapToGrid w:val="0"/>
                <w:color w:val="000000"/>
                <w:kern w:val="0"/>
                <w:sz w:val="18"/>
                <w:szCs w:val="21"/>
              </w:rPr>
              <w:t>GB/T19001-2016/ISO9001:2015</w:t>
            </w:r>
            <w:bookmarkEnd w:id="11"/>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r>
              <w:t>29.10.03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2" w:name="Q勾选Add2"/>
            <w:r>
              <w:rPr>
                <w:rFonts w:hint="eastAsia"/>
              </w:rPr>
              <w:t>■</w:t>
            </w:r>
            <w:bookmarkEnd w:id="1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3" w:name="E勾选Add2"/>
            <w:r>
              <w:rPr>
                <w:rFonts w:hint="eastAsia"/>
              </w:rPr>
              <w:t>□</w:t>
            </w:r>
            <w:bookmarkEnd w:id="1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4" w:name="S勾选Add2"/>
            <w:r>
              <w:rPr>
                <w:rFonts w:hint="eastAsia"/>
              </w:rPr>
              <w:t>□</w:t>
            </w:r>
            <w:bookmarkEnd w:id="1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w:char="00A8"/>
            </w:r>
            <w:r>
              <w:rPr>
                <w:rFonts w:hint="eastAsia"/>
              </w:rPr>
              <w:t>推荐保持认证注册(</w:t>
            </w:r>
            <w:r>
              <w:rPr>
                <w:rFonts w:hint="eastAsia"/>
              </w:rPr>
              <w:sym w:font="Wingdings" w:char="00A8"/>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2021年</w:t>
            </w:r>
            <w:r>
              <w:rPr>
                <w:rFonts w:hint="eastAsia" w:ascii="宋体"/>
                <w:b/>
                <w:color w:val="auto"/>
                <w:szCs w:val="21"/>
                <w:lang w:val="en-US" w:eastAsia="zh-CN"/>
              </w:rPr>
              <w:t>10</w:t>
            </w:r>
            <w:r>
              <w:rPr>
                <w:rFonts w:hint="eastAsia" w:ascii="宋体"/>
                <w:b/>
                <w:color w:val="auto"/>
                <w:szCs w:val="21"/>
              </w:rPr>
              <w:t>月</w:t>
            </w:r>
            <w:r>
              <w:rPr>
                <w:rFonts w:hint="eastAsia" w:ascii="宋体"/>
                <w:b/>
                <w:color w:val="auto"/>
                <w:szCs w:val="21"/>
                <w:lang w:val="en-US" w:eastAsia="zh-CN"/>
              </w:rPr>
              <w:t>14</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w:t>
            </w:r>
            <w:r>
              <w:rPr>
                <w:rFonts w:ascii="宋体" w:hAnsi="宋体" w:cs="宋体"/>
                <w:color w:val="000000"/>
                <w:kern w:val="0"/>
                <w:szCs w:val="21"/>
              </w:rPr>
              <w:t>节能窑炉的设计；节能窑炉、保温材料的销售</w:t>
            </w:r>
          </w:p>
          <w:p>
            <w:pPr>
              <w:shd w:val="clear" w:color="auto" w:fill="C7DAF1" w:themeFill="text2" w:themeFillTint="32"/>
              <w:rPr>
                <w:rFonts w:hint="default" w:eastAsia="宋体"/>
                <w:lang w:val="en-US" w:eastAsia="zh-CN"/>
              </w:rPr>
            </w:pPr>
            <w:r>
              <w:rPr>
                <w:rFonts w:hint="eastAsia"/>
              </w:rPr>
              <w:t>对QMS的适用性（详见第一条款不适用条款和理由说明）：</w:t>
            </w:r>
            <w:r>
              <w:rPr>
                <w:rFonts w:hint="eastAsia"/>
                <w:lang w:val="en-US" w:eastAsia="zh-CN"/>
              </w:rPr>
              <w:t>无不适用条款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rPr>
            </w:pPr>
            <w:r>
              <w:rPr>
                <w:rFonts w:hint="eastAsia"/>
              </w:rPr>
              <w:t>最高管理者制定了文件化的管理体系方针：</w:t>
            </w:r>
          </w:p>
          <w:p>
            <w:pPr>
              <w:rPr>
                <w:rFonts w:hint="eastAsia"/>
              </w:rPr>
            </w:pPr>
            <w:r>
              <w:rPr>
                <w:rFonts w:hint="eastAsia"/>
              </w:rPr>
              <w:t>科学领先，顾客满意，持续改进，行业领先，质量一流，服务一流。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t>综合部</w:t>
            </w:r>
            <w:r>
              <w:rPr>
                <w:rFonts w:hint="eastAsia"/>
              </w:rPr>
              <w:t>、</w:t>
            </w:r>
            <w:r>
              <w:rPr>
                <w:rFonts w:hint="eastAsia"/>
                <w:lang w:val="en-US" w:eastAsia="zh-CN"/>
              </w:rPr>
              <w:t>技术</w:t>
            </w:r>
            <w: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内部管理风险</w:t>
                  </w:r>
                </w:p>
              </w:tc>
              <w:tc>
                <w:tcPr>
                  <w:tcW w:w="3965" w:type="dxa"/>
                </w:tcPr>
                <w:p>
                  <w:pPr>
                    <w:shd w:val="clear" w:color="auto" w:fill="C7DAF1" w:themeFill="text2" w:themeFillTint="32"/>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szCs w:val="21"/>
                    </w:rPr>
                    <w:t>内部人员管理风险</w:t>
                  </w:r>
                </w:p>
              </w:tc>
              <w:tc>
                <w:tcPr>
                  <w:tcW w:w="3965" w:type="dxa"/>
                </w:tcPr>
                <w:p>
                  <w:pPr>
                    <w:shd w:val="clear" w:color="auto" w:fill="C7DAF1" w:themeFill="text2" w:themeFillTint="32"/>
                  </w:pPr>
                  <w:r>
                    <w:rPr>
                      <w:rFonts w:hint="eastAsia"/>
                    </w:rPr>
                    <w:t>人员招聘和培训</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内部信息化文件管理风险</w:t>
                  </w:r>
                </w:p>
              </w:tc>
              <w:tc>
                <w:tcPr>
                  <w:tcW w:w="3965" w:type="dxa"/>
                </w:tcPr>
                <w:p>
                  <w:pPr>
                    <w:shd w:val="clear" w:color="auto" w:fill="C7DAF1" w:themeFill="text2" w:themeFillTint="32"/>
                  </w:pPr>
                  <w:r>
                    <w:rPr>
                      <w:rFonts w:hint="eastAsia"/>
                    </w:rPr>
                    <w:t>失效文件及时回收销毁</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外部顾客监视和测量风险</w:t>
                  </w:r>
                </w:p>
              </w:tc>
              <w:tc>
                <w:tcPr>
                  <w:tcW w:w="3965" w:type="dxa"/>
                </w:tcPr>
                <w:p>
                  <w:pPr>
                    <w:shd w:val="clear" w:color="auto" w:fill="C7DAF1" w:themeFill="text2" w:themeFillTint="32"/>
                  </w:pPr>
                  <w:r>
                    <w:rPr>
                      <w:rFonts w:hint="eastAsia"/>
                    </w:rPr>
                    <w:t>对所接到的客户投诉登记汇总，安排专人负责处理并及时回复客户，确保产品质量和交期，与客户保持积极沟通，以确保客户的满意</w:t>
                  </w:r>
                </w:p>
              </w:tc>
              <w:tc>
                <w:tcPr>
                  <w:tcW w:w="1717" w:type="dxa"/>
                </w:tcPr>
                <w:p>
                  <w: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项目验收合格率≥98%</w:t>
                  </w:r>
                  <w:r>
                    <w:rPr>
                      <w:rFonts w:hint="eastAsia" w:asciiTheme="minorEastAsia" w:hAnsiTheme="minorEastAsia" w:eastAsiaTheme="minorEastAsia"/>
                      <w:szCs w:val="21"/>
                    </w:rPr>
                    <w:t>%</w:t>
                  </w:r>
                </w:p>
              </w:tc>
              <w:tc>
                <w:tcPr>
                  <w:tcW w:w="3136" w:type="dxa"/>
                  <w:shd w:val="clear" w:color="auto" w:fill="auto"/>
                  <w:vAlign w:val="center"/>
                </w:tcPr>
                <w:p>
                  <w:pPr>
                    <w:shd w:val="clear" w:color="auto" w:fill="C7DAF1" w:themeFill="text2" w:themeFillTint="32"/>
                    <w:rPr>
                      <w:lang w:val="en-GB"/>
                    </w:rPr>
                  </w:pPr>
                  <w:r>
                    <w:rPr>
                      <w:rFonts w:hint="eastAsia" w:asciiTheme="minorEastAsia" w:hAnsiTheme="minorEastAsia" w:eastAsiaTheme="minorEastAsia"/>
                      <w:szCs w:val="21"/>
                      <w:lang w:val="en-US" w:eastAsia="zh-CN"/>
                    </w:rPr>
                    <w:t>验收合格数量</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验收</w:t>
                  </w:r>
                  <w:r>
                    <w:rPr>
                      <w:rFonts w:hint="eastAsia" w:asciiTheme="minorEastAsia" w:hAnsiTheme="minorEastAsia" w:eastAsiaTheme="minorEastAsia"/>
                      <w:szCs w:val="21"/>
                    </w:rPr>
                    <w:t>总数*100%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销售</w:t>
                  </w:r>
                  <w:r>
                    <w:rPr>
                      <w:lang w:val="en-GB"/>
                    </w:rPr>
                    <w:t>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szCs w:val="21"/>
                    </w:rPr>
                    <w:t>顾客满意率≥9</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p>
              </w:tc>
              <w:tc>
                <w:tcPr>
                  <w:tcW w:w="3136" w:type="dxa"/>
                  <w:shd w:val="clear" w:color="auto" w:fill="auto"/>
                  <w:vAlign w:val="center"/>
                </w:tcPr>
                <w:p>
                  <w:pPr>
                    <w:shd w:val="clear" w:color="auto" w:fill="C7DAF1" w:themeFill="text2" w:themeFillTint="32"/>
                    <w:rPr>
                      <w:rFonts w:ascii="宋体" w:hAnsi="宋体"/>
                    </w:rPr>
                  </w:pPr>
                  <w:r>
                    <w:rPr>
                      <w:rFonts w:hint="eastAsia" w:asciiTheme="minorEastAsia" w:hAnsiTheme="minorEastAsia" w:eastAsiaTheme="minorEastAsia"/>
                      <w:szCs w:val="21"/>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w:t>
                  </w:r>
                  <w:r>
                    <w:rPr>
                      <w:lang w:val="en-GB"/>
                    </w:rPr>
                    <w:t>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w:t>
                  </w:r>
                  <w:r>
                    <w:rPr>
                      <w:rFonts w:hint="eastAsia" w:ascii="宋体" w:hAnsi="宋体"/>
                      <w:lang w:val="en-US" w:eastAsia="zh-CN"/>
                    </w:rPr>
                    <w:t>8</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合同履行率100%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合同评审数量/</w:t>
                  </w:r>
                  <w:r>
                    <w:rPr>
                      <w:rFonts w:hint="eastAsia" w:asciiTheme="minorEastAsia" w:hAnsiTheme="minorEastAsia" w:eastAsiaTheme="minorEastAsia"/>
                      <w:szCs w:val="21"/>
                    </w:rPr>
                    <w:t>总数*100%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销售</w:t>
                  </w:r>
                  <w:r>
                    <w:rPr>
                      <w:lang w:val="en-GB"/>
                    </w:rPr>
                    <w:t>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lang w:val="en-GB"/>
                    </w:rPr>
                    <w:t>100%</w:t>
                  </w:r>
                </w:p>
              </w:tc>
            </w:tr>
          </w:tbl>
          <w:p>
            <w:pPr>
              <w:shd w:val="clear" w:color="auto" w:fill="C7DAF1" w:themeFill="text2" w:themeFillTint="32"/>
            </w:pPr>
            <w:r>
              <w:rPr>
                <w:rFonts w:hint="eastAsia"/>
              </w:rPr>
              <w:t>■目标已实现</w:t>
            </w:r>
          </w:p>
          <w:p>
            <w:pPr>
              <w:shd w:val="clear" w:color="auto" w:fill="C7DAF1" w:themeFill="text2"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180</w:t>
            </w:r>
            <w:r>
              <w:rPr>
                <w:rFonts w:hint="eastAsia"/>
              </w:rPr>
              <w:t>平方米；生产车间</w:t>
            </w:r>
            <w:r>
              <w:rPr>
                <w:rFonts w:hint="eastAsia"/>
                <w:u w:val="single"/>
              </w:rPr>
              <w:t xml:space="preserve"> 0  </w:t>
            </w:r>
            <w:r>
              <w:rPr>
                <w:rFonts w:hint="eastAsia"/>
              </w:rPr>
              <w:t>个；库房</w:t>
            </w:r>
            <w:r>
              <w:rPr>
                <w:rFonts w:hint="eastAsia"/>
                <w:u w:val="single"/>
              </w:rPr>
              <w:t xml:space="preserve">  0  </w:t>
            </w:r>
            <w:r>
              <w:rPr>
                <w:rFonts w:hint="eastAsia"/>
              </w:rPr>
              <w:t>个；实验室</w:t>
            </w:r>
            <w:r>
              <w:rPr>
                <w:rFonts w:hint="eastAsia"/>
                <w:u w:val="single"/>
              </w:rPr>
              <w:t xml:space="preserve">  0 </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电话，电脑、打印机、复印机、空调、办公桌椅等</w:t>
            </w:r>
          </w:p>
          <w:p>
            <w:pPr>
              <w:shd w:val="clear" w:color="auto" w:fill="C7DAF1" w:themeFill="text2"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 xml:space="preserve">计量器具   ■服务流程检查表  </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sym w:font="Wingdings" w:char="00A8"/>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ascii="Wingdings" w:hAnsi="Wingdings"/>
              </w:rPr>
              <w:sym w:font="Wingdings" w:char="00FE"/>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ascii="Wingdings" w:hAnsi="Wingdings"/>
              </w:rPr>
              <w:t></w:t>
            </w:r>
            <w:r>
              <w:rPr>
                <w:rFonts w:hint="eastAsia"/>
              </w:rPr>
              <w:t xml:space="preserve">加工工艺 </w:t>
            </w:r>
            <w:r>
              <w:rPr>
                <w:rFonts w:ascii="Wingdings" w:hAnsi="Wingdings"/>
              </w:rPr>
              <w:t></w:t>
            </w:r>
            <w:r>
              <w:rPr>
                <w:rFonts w:hint="eastAsia"/>
              </w:rPr>
              <w:t xml:space="preserve">生产经验  </w:t>
            </w:r>
            <w:r>
              <w:rPr>
                <w:rFonts w:ascii="Wingdings" w:hAnsi="Wingdings"/>
              </w:rPr>
              <w:t></w:t>
            </w:r>
            <w:r>
              <w:rPr>
                <w:rFonts w:hint="eastAsia"/>
              </w:rPr>
              <w:t xml:space="preserve">管理软件  ■市场预测   </w:t>
            </w:r>
            <w:r>
              <w:rPr>
                <w:rFonts w:ascii="Wingdings" w:hAnsi="Wingdings"/>
              </w:rPr>
              <w:t></w:t>
            </w:r>
            <w:r>
              <w:rPr>
                <w:rFonts w:hint="eastAsia"/>
              </w:rPr>
              <w:t>企业标准  ■其他</w:t>
            </w:r>
          </w:p>
          <w:p>
            <w:pPr>
              <w:shd w:val="clear" w:color="auto" w:fill="C7DAF1" w:themeFill="text2" w:themeFillTint="32"/>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组织已确定与质量管理体系相关的内部和外部沟通。 </w:t>
            </w:r>
          </w:p>
          <w:p>
            <w:pPr>
              <w:shd w:val="clear" w:color="auto" w:fill="C7DAF1" w:themeFill="text2" w:themeFillTint="32"/>
            </w:pPr>
            <w:r>
              <w:rPr>
                <w:rFonts w:hint="eastAsia"/>
              </w:rPr>
              <w:t xml:space="preserve">内部沟通方式：■文件发放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 xml:space="preserve">其他 </w:t>
            </w:r>
          </w:p>
          <w:p>
            <w:pPr>
              <w:shd w:val="clear" w:color="auto" w:fill="C7DAF1" w:themeFill="text2"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 xml:space="preserve">原材料采购 ■委托加工  </w:t>
            </w:r>
            <w:r>
              <w:rPr>
                <w:rFonts w:ascii="Wingdings" w:hAnsi="Wingdings"/>
              </w:rPr>
              <w:t></w:t>
            </w:r>
            <w:r>
              <w:rPr>
                <w:rFonts w:hint="eastAsia"/>
              </w:rPr>
              <w:t xml:space="preserve">顾客要求 </w:t>
            </w:r>
            <w:r>
              <w:rPr>
                <w:rFonts w:hint="eastAsia"/>
                <w:b/>
              </w:rPr>
              <w:t>■</w:t>
            </w:r>
            <w:r>
              <w:rPr>
                <w:rFonts w:hint="eastAsia"/>
              </w:rPr>
              <w:t>运输  ■其他：报关</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 xml:space="preserve">组织的生产和服务提供流程图（见第三条款）， </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预应力桩顶机械连接件的销售</w:t>
                  </w:r>
                </w:p>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eastAsia"/>
                      <w:lang w:val="en-US" w:eastAsia="zh-CN"/>
                    </w:rPr>
                  </w:pPr>
                  <w:r>
                    <w:rPr>
                      <w:rFonts w:hint="eastAsia"/>
                      <w:lang w:val="en-US" w:eastAsia="zh-CN"/>
                    </w:rPr>
                    <w:t>销售服务流程、人员培训、</w:t>
                  </w:r>
                  <w:r>
                    <w:rPr>
                      <w:rFonts w:hint="eastAsia"/>
                    </w:rPr>
                    <w:t>作业指导书</w:t>
                  </w:r>
                  <w:r>
                    <w:rPr>
                      <w:rFonts w:hint="eastAsia"/>
                      <w:lang w:eastAsia="zh-CN"/>
                    </w:rPr>
                    <w:t>、</w:t>
                  </w:r>
                  <w:r>
                    <w:rPr>
                      <w:rFonts w:hint="eastAsia"/>
                    </w:rPr>
                    <w:t>设备</w:t>
                  </w:r>
                  <w:r>
                    <w:rPr>
                      <w:rFonts w:hint="eastAsia"/>
                      <w:lang w:eastAsia="zh-CN"/>
                    </w:rPr>
                    <w:t>、</w:t>
                  </w:r>
                  <w:r>
                    <w:rPr>
                      <w:rFonts w:hint="eastAsia"/>
                      <w:lang w:val="en-US" w:eastAsia="zh-CN"/>
                    </w:rPr>
                    <w:t>日常工作检查</w:t>
                  </w:r>
                </w:p>
                <w:p>
                  <w:pPr>
                    <w:pStyle w:val="11"/>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rPr>
                <w:rFonts w:hint="default"/>
                <w:lang w:val="en-US"/>
              </w:rPr>
            </w:pPr>
            <w:r>
              <w:rPr>
                <w:rFonts w:hint="eastAsia"/>
              </w:rPr>
              <w:t>需要确认的过程：</w:t>
            </w:r>
            <w:r>
              <w:rPr>
                <w:rFonts w:hint="eastAsia"/>
                <w:lang w:val="en-US" w:eastAsia="zh-CN"/>
              </w:rPr>
              <w:t>销售过程、设计开发过程</w:t>
            </w:r>
          </w:p>
          <w:p>
            <w:pPr>
              <w:shd w:val="clear" w:color="auto" w:fill="C7DAF1" w:themeFill="text2" w:themeFillTint="32"/>
              <w:jc w:val="left"/>
            </w:pPr>
            <w:r>
              <w:rPr>
                <w:rFonts w:hint="eastAsia"/>
              </w:rPr>
              <w:t xml:space="preserve">■进行了有效的确认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 xml:space="preserve">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■设备 </w:t>
            </w:r>
            <w:r>
              <w:rPr>
                <w:rFonts w:ascii="Wingdings" w:hAnsi="Wingdings"/>
              </w:rPr>
              <w:t></w:t>
            </w:r>
            <w:r>
              <w:rPr>
                <w:rFonts w:hint="eastAsia"/>
              </w:rPr>
              <w:t xml:space="preserve">检测设备 ■图纸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ascii="Wingdings" w:hAnsi="Wingdings"/>
              </w:rPr>
              <w:t></w:t>
            </w:r>
            <w:r>
              <w:rPr>
                <w:rFonts w:hint="eastAsia"/>
              </w:rPr>
              <w:t xml:space="preserve">顾客座谈 </w:t>
            </w:r>
            <w:r>
              <w:rPr>
                <w:rFonts w:ascii="Wingdings" w:hAnsi="Wingdings"/>
              </w:rPr>
              <w:t></w:t>
            </w:r>
            <w:r>
              <w:rPr>
                <w:rFonts w:hint="eastAsia"/>
              </w:rPr>
              <w:t xml:space="preserve">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20</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ascii="Wingdings" w:hAnsi="Wingdings"/>
              </w:rPr>
              <w:t></w:t>
            </w:r>
            <w:r>
              <w:rPr>
                <w:rFonts w:hint="eastAsia"/>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3</w:t>
            </w:r>
            <w:bookmarkStart w:id="15" w:name="_GoBack"/>
            <w:bookmarkEnd w:id="15"/>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18655BD3"/>
    <w:rsid w:val="1E1C0A76"/>
    <w:rsid w:val="3F8234FF"/>
    <w:rsid w:val="41B13212"/>
    <w:rsid w:val="46800C53"/>
    <w:rsid w:val="48D05C02"/>
    <w:rsid w:val="49DA6E08"/>
    <w:rsid w:val="5BF8093F"/>
    <w:rsid w:val="5E614268"/>
    <w:rsid w:val="686F77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1677</Words>
  <Characters>9564</Characters>
  <Lines>79</Lines>
  <Paragraphs>22</Paragraphs>
  <TotalTime>2</TotalTime>
  <ScaleCrop>false</ScaleCrop>
  <LinksUpToDate>false</LinksUpToDate>
  <CharactersWithSpaces>11219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2021-10-14T00:32:30Z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