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1049-2021-Q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江苏瀚龙建材科技有限公司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2021年10月13日 上午至2021年10月13日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hint="eastAsia"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r>
              <w:rPr>
                <w:rFonts w:hint="eastAsia" w:ascii="宋体"/>
                <w:b/>
                <w:color w:val="000000"/>
                <w:szCs w:val="21"/>
              </w:rPr>
              <w:t>管理体系策划及运行，</w:t>
            </w:r>
          </w:p>
          <w:p>
            <w:pPr>
              <w:rPr>
                <w:rFonts w:ascii="宋体"/>
                <w:b/>
                <w:color w:val="000000"/>
                <w:szCs w:val="21"/>
              </w:rPr>
            </w:pPr>
            <w:r>
              <w:rPr>
                <w:rFonts w:hint="eastAsia" w:ascii="宋体"/>
                <w:b/>
                <w:color w:val="000000"/>
                <w:szCs w:val="21"/>
              </w:rPr>
              <w:t>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1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0" w:name="Q勾选Add2"/>
            <w:r>
              <w:rPr>
                <w:rFonts w:hint="eastAsia" w:ascii="宋体" w:hAnsi="宋体"/>
                <w:b/>
                <w:color w:val="000000"/>
                <w:szCs w:val="21"/>
                <w:lang w:val="de-DE"/>
              </w:rPr>
              <w:t>■</w:t>
            </w:r>
            <w:bookmarkEnd w:id="10"/>
            <w:r>
              <w:rPr>
                <w:rFonts w:hint="eastAsia" w:ascii="宋体" w:hAnsi="宋体"/>
                <w:b/>
                <w:color w:val="000000"/>
                <w:szCs w:val="21"/>
                <w:lang w:val="de-DE"/>
              </w:rPr>
              <w:t>GB/T19001-2016</w:t>
            </w:r>
            <w:bookmarkStart w:id="11" w:name="QJ勾选Add2"/>
            <w:r>
              <w:rPr>
                <w:rFonts w:hint="eastAsia" w:ascii="宋体" w:hAnsi="宋体"/>
                <w:b/>
                <w:color w:val="000000"/>
                <w:szCs w:val="21"/>
                <w:lang w:val="de-DE"/>
              </w:rPr>
              <w:t>□</w:t>
            </w:r>
            <w:bookmarkEnd w:id="11"/>
            <w:r>
              <w:rPr>
                <w:rFonts w:hint="eastAsia" w:ascii="宋体" w:hAnsi="宋体"/>
                <w:b/>
                <w:color w:val="000000"/>
                <w:szCs w:val="21"/>
                <w:lang w:val="de-DE"/>
              </w:rPr>
              <w:t>GB/T 50430-2017</w:t>
            </w:r>
            <w:bookmarkStart w:id="12" w:name="E勾选Add2"/>
            <w:r>
              <w:rPr>
                <w:rFonts w:hint="eastAsia" w:ascii="宋体" w:hAnsi="宋体"/>
                <w:b/>
                <w:color w:val="000000"/>
                <w:szCs w:val="21"/>
                <w:lang w:val="de-DE"/>
              </w:rPr>
              <w:t>□</w:t>
            </w:r>
            <w:bookmarkEnd w:id="12"/>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3" w:name="S勾选Add2"/>
            <w:r>
              <w:rPr>
                <w:rFonts w:hint="eastAsia" w:ascii="宋体" w:hAnsi="宋体"/>
                <w:b/>
                <w:color w:val="000000"/>
                <w:szCs w:val="21"/>
                <w:lang w:val="de-DE"/>
              </w:rPr>
              <w:t>□</w:t>
            </w:r>
            <w:bookmarkEnd w:id="13"/>
            <w:r>
              <w:rPr>
                <w:rFonts w:hint="eastAsia" w:ascii="宋体" w:hAnsi="宋体"/>
                <w:b/>
                <w:color w:val="000000"/>
                <w:szCs w:val="21"/>
                <w:lang w:val="de-DE"/>
              </w:rPr>
              <w:t>ISO45001：2018</w:t>
            </w:r>
          </w:p>
          <w:p>
            <w:pPr>
              <w:rPr>
                <w:rFonts w:ascii="宋体" w:hAnsi="宋体"/>
                <w:b/>
                <w:color w:val="000000"/>
                <w:szCs w:val="21"/>
                <w:lang w:val="de-DE"/>
              </w:rPr>
            </w:pPr>
            <w:bookmarkStart w:id="14" w:name="EnMS勾选Add2"/>
            <w:r>
              <w:rPr>
                <w:rFonts w:hint="eastAsia" w:ascii="宋体" w:hAnsi="宋体"/>
                <w:b/>
                <w:color w:val="000000"/>
                <w:szCs w:val="21"/>
                <w:lang w:val="de-DE"/>
              </w:rPr>
              <w:t>□</w:t>
            </w:r>
            <w:bookmarkEnd w:id="14"/>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5" w:name="F勾选Add2"/>
            <w:r>
              <w:rPr>
                <w:rFonts w:hint="eastAsia" w:ascii="宋体" w:hAnsi="宋体"/>
                <w:b/>
                <w:color w:val="000000"/>
                <w:szCs w:val="21"/>
                <w:lang w:val="de-DE"/>
              </w:rPr>
              <w:t>□</w:t>
            </w:r>
            <w:bookmarkEnd w:id="15"/>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6" w:name="H勾选Add2"/>
            <w:r>
              <w:rPr>
                <w:rFonts w:hint="eastAsia" w:ascii="宋体" w:hAnsi="宋体"/>
                <w:b/>
                <w:color w:val="000000"/>
                <w:szCs w:val="21"/>
                <w:lang w:val="de-DE"/>
              </w:rPr>
              <w:t>□</w:t>
            </w:r>
            <w:bookmarkEnd w:id="16"/>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rFonts w:hint="eastAsia" w:ascii="宋体" w:hAnsi="宋体" w:cs="宋体"/>
                <w:color w:val="000000"/>
                <w:kern w:val="0"/>
                <w:szCs w:val="21"/>
              </w:rPr>
              <w:t>徐州市云龙区绿地商务城 (B7-1地块) officeF号楼 1-1003</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李京田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2021-N1QMS-4014142</w:t>
            </w:r>
          </w:p>
        </w:tc>
        <w:tc>
          <w:tcPr>
            <w:tcW w:w="1140" w:type="dxa"/>
            <w:vAlign w:val="center"/>
          </w:tcPr>
          <w:p>
            <w:pPr>
              <w:spacing w:line="240" w:lineRule="exact"/>
              <w:jc w:val="center"/>
              <w:rPr>
                <w:b/>
                <w:color w:val="000000"/>
                <w:szCs w:val="21"/>
              </w:rPr>
            </w:pPr>
            <w:r>
              <w:rPr>
                <w:b/>
                <w:color w:val="000000"/>
                <w:szCs w:val="21"/>
              </w:rPr>
              <w:t>29.10.03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ascii="宋体" w:hAnsi="Times New Roman" w:eastAsia="宋体" w:cs="Times New Roman"/>
                <w:b/>
                <w:color w:val="000000"/>
                <w:kern w:val="2"/>
                <w:sz w:val="21"/>
                <w:szCs w:val="21"/>
                <w:lang w:val="en-US" w:eastAsia="zh-CN" w:bidi="ar-SA"/>
              </w:rPr>
            </w:pPr>
            <w:r>
              <w:rPr>
                <w:rFonts w:ascii="宋体"/>
                <w:b/>
                <w:color w:val="000000"/>
                <w:szCs w:val="21"/>
              </w:rPr>
              <w:t>江苏瀚龙建材科技有限公司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spacing w:line="280" w:lineRule="exact"/>
              <w:rPr>
                <w:rFonts w:ascii="宋体" w:hAnsi="Times New Roman" w:eastAsia="宋体" w:cs="Times New Roman"/>
                <w:b/>
                <w:color w:val="000000"/>
                <w:kern w:val="2"/>
                <w:sz w:val="21"/>
                <w:szCs w:val="21"/>
                <w:lang w:val="en-US" w:eastAsia="zh-CN" w:bidi="ar-SA"/>
              </w:rPr>
            </w:pPr>
            <w:r>
              <w:rPr>
                <w:rFonts w:ascii="宋体"/>
                <w:b/>
                <w:color w:val="000000"/>
                <w:szCs w:val="21"/>
              </w:rPr>
              <w:t>徐州市云龙区绿地商务城 (B7-1地块) officeF号楼 1-1003</w:t>
            </w:r>
          </w:p>
        </w:tc>
        <w:tc>
          <w:tcPr>
            <w:tcW w:w="1242" w:type="dxa"/>
            <w:gridSpan w:val="2"/>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pPr>
              <w:spacing w:line="280" w:lineRule="exact"/>
              <w:jc w:val="center"/>
              <w:rPr>
                <w:rFonts w:ascii="宋体"/>
                <w:b/>
                <w:color w:val="000000"/>
                <w:szCs w:val="21"/>
              </w:rPr>
            </w:pPr>
          </w:p>
        </w:tc>
        <w:tc>
          <w:tcPr>
            <w:tcW w:w="1771" w:type="dxa"/>
            <w:gridSpan w:val="2"/>
            <w:vAlign w:val="top"/>
          </w:tcPr>
          <w:p>
            <w:pPr>
              <w:spacing w:line="280" w:lineRule="exact"/>
              <w:rPr>
                <w:rFonts w:ascii="宋体" w:hAnsi="Times New Roman" w:eastAsia="宋体" w:cs="Times New Roman"/>
                <w:b/>
                <w:color w:val="000000"/>
                <w:kern w:val="2"/>
                <w:sz w:val="21"/>
                <w:szCs w:val="21"/>
                <w:lang w:val="en-US" w:eastAsia="zh-CN" w:bidi="ar-SA"/>
              </w:rPr>
            </w:pPr>
            <w:r>
              <w:rPr>
                <w:rFonts w:ascii="宋体"/>
                <w:b/>
                <w:color w:val="000000"/>
                <w:szCs w:val="21"/>
              </w:rPr>
              <w:t>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spacing w:line="280" w:lineRule="exact"/>
              <w:rPr>
                <w:rFonts w:ascii="宋体" w:hAnsi="Times New Roman" w:eastAsia="宋体" w:cs="Times New Roman"/>
                <w:b/>
                <w:color w:val="000000"/>
                <w:kern w:val="2"/>
                <w:sz w:val="21"/>
                <w:szCs w:val="21"/>
                <w:lang w:val="en-US" w:eastAsia="zh-CN" w:bidi="ar-SA"/>
              </w:rPr>
            </w:pPr>
            <w:r>
              <w:rPr>
                <w:rFonts w:ascii="宋体"/>
                <w:b/>
                <w:color w:val="000000"/>
                <w:szCs w:val="21"/>
              </w:rPr>
              <w:t>徐州市云龙区绿地商务城 (B7-1地块) officeF号楼 1-1003</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hAnsi="Times New Roman" w:eastAsia="宋体" w:cs="Times New Roman"/>
                <w:b/>
                <w:color w:val="000000"/>
                <w:kern w:val="2"/>
                <w:sz w:val="21"/>
                <w:szCs w:val="21"/>
                <w:lang w:val="en-US" w:eastAsia="zh-CN" w:bidi="ar-SA"/>
              </w:rPr>
            </w:pPr>
            <w:r>
              <w:rPr>
                <w:rFonts w:ascii="宋体"/>
                <w:b/>
                <w:color w:val="000000"/>
                <w:szCs w:val="21"/>
              </w:rPr>
              <w:t>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王桂龙</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13805200558</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王桂龙</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王桂龙</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18" w:name="审核范围"/>
            <w:r>
              <w:rPr>
                <w:rFonts w:hint="eastAsia" w:ascii="宋体" w:hAnsi="宋体" w:cs="宋体"/>
                <w:color w:val="000000"/>
                <w:kern w:val="0"/>
                <w:szCs w:val="21"/>
              </w:rPr>
              <w:t>预应力桩顶机械连接件的销售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hint="eastAsia"/>
                <w:color w:val="000000"/>
              </w:rPr>
            </w:pPr>
            <w:r>
              <w:rPr>
                <w:rFonts w:hint="eastAsia"/>
                <w:color w:val="000000"/>
              </w:rPr>
              <w:t>客户下订单→采购→</w:t>
            </w:r>
            <w:r>
              <w:rPr>
                <w:rFonts w:hint="eastAsia"/>
                <w:color w:val="000000"/>
                <w:lang w:val="en-US" w:eastAsia="zh-CN"/>
              </w:rPr>
              <w:t>检验</w:t>
            </w:r>
            <w:r>
              <w:rPr>
                <w:rFonts w:hint="eastAsia"/>
                <w:color w:val="000000"/>
              </w:rPr>
              <w:t>→</w:t>
            </w:r>
            <w:r>
              <w:rPr>
                <w:rFonts w:hint="eastAsia"/>
                <w:color w:val="000000"/>
                <w:lang w:val="en-US" w:eastAsia="zh-CN"/>
              </w:rPr>
              <w:t>入库</w:t>
            </w:r>
            <w:r>
              <w:rPr>
                <w:rFonts w:hint="eastAsia"/>
                <w:color w:val="000000"/>
              </w:rPr>
              <w:t>→交付→售后服务</w:t>
            </w:r>
          </w:p>
          <w:p>
            <w:pPr>
              <w:tabs>
                <w:tab w:val="left" w:pos="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预应力桩顶机械连接件的销售</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29.10.03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77"/>
        <w:gridCol w:w="609"/>
        <w:gridCol w:w="2191"/>
        <w:gridCol w:w="173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7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0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191"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3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江苏瀚龙建材科技有限公司</w:t>
            </w:r>
            <w:r>
              <w:rPr>
                <w:rFonts w:hint="eastAsia"/>
                <w:sz w:val="21"/>
                <w:szCs w:val="21"/>
                <w:lang w:val="en-US" w:eastAsia="zh-CN"/>
              </w:rPr>
              <w:t>/</w:t>
            </w:r>
            <w:bookmarkStart w:id="19" w:name="注册地址"/>
            <w:r>
              <w:rPr>
                <w:rFonts w:hint="eastAsia" w:ascii="宋体" w:hAnsi="宋体" w:cs="宋体"/>
                <w:color w:val="000000"/>
                <w:kern w:val="0"/>
                <w:szCs w:val="21"/>
              </w:rPr>
              <w:t>徐州市云龙区绿地商务城 (B7-1地块) officeF号楼 1-1003</w:t>
            </w:r>
            <w:bookmarkEnd w:id="19"/>
          </w:p>
        </w:tc>
        <w:tc>
          <w:tcPr>
            <w:tcW w:w="1777" w:type="dxa"/>
          </w:tcPr>
          <w:p>
            <w:pPr>
              <w:spacing w:before="40" w:after="40"/>
              <w:rPr>
                <w:rFonts w:eastAsia="黑体"/>
                <w:szCs w:val="21"/>
                <w:lang w:val="de-DE" w:eastAsia="ja-JP"/>
              </w:rPr>
            </w:pPr>
            <w:r>
              <w:rPr>
                <w:rFonts w:hint="eastAsia" w:ascii="宋体" w:hAnsi="宋体" w:cs="宋体"/>
                <w:color w:val="000000"/>
                <w:kern w:val="0"/>
                <w:szCs w:val="21"/>
              </w:rPr>
              <w:t>徐州市云龙区绿地商务城 (B7-1地块) officeF号楼 1-1003</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9</w:t>
            </w:r>
          </w:p>
        </w:tc>
        <w:tc>
          <w:tcPr>
            <w:tcW w:w="2191" w:type="dxa"/>
            <w:vAlign w:val="center"/>
          </w:tcPr>
          <w:p>
            <w:pPr>
              <w:pStyle w:val="19"/>
              <w:rPr>
                <w:rFonts w:eastAsia="黑体" w:cs="Arial"/>
                <w:sz w:val="21"/>
                <w:szCs w:val="21"/>
                <w:lang w:val="en-US" w:eastAsia="ja-JP"/>
              </w:rPr>
            </w:pPr>
            <w:r>
              <w:rPr>
                <w:rFonts w:hint="eastAsia" w:ascii="宋体" w:hAnsi="宋体" w:cs="宋体"/>
                <w:color w:val="000000"/>
                <w:kern w:val="0"/>
                <w:szCs w:val="21"/>
              </w:rPr>
              <w:t>预应力桩顶机械连接件的销售</w:t>
            </w:r>
          </w:p>
        </w:tc>
        <w:tc>
          <w:tcPr>
            <w:tcW w:w="1733" w:type="dxa"/>
            <w:vAlign w:val="center"/>
          </w:tcPr>
          <w:p>
            <w:pPr>
              <w:spacing w:before="40" w:after="40"/>
              <w:rPr>
                <w:rFonts w:hint="default" w:eastAsia="黑体"/>
                <w:szCs w:val="21"/>
                <w:lang w:val="en-US" w:eastAsia="zh-CN"/>
              </w:rPr>
            </w:pPr>
            <w:r>
              <w:rPr>
                <w:rFonts w:hint="eastAsia" w:eastAsia="黑体"/>
                <w:szCs w:val="21"/>
                <w:lang w:val="en-US" w:eastAsia="zh-CN"/>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777" w:type="dxa"/>
            <w:vAlign w:val="center"/>
          </w:tcPr>
          <w:p>
            <w:pPr>
              <w:spacing w:before="40" w:after="40"/>
              <w:rPr>
                <w:rFonts w:eastAsia="黑体"/>
                <w:szCs w:val="21"/>
                <w:lang w:eastAsia="ja-JP"/>
              </w:rPr>
            </w:pPr>
          </w:p>
        </w:tc>
        <w:tc>
          <w:tcPr>
            <w:tcW w:w="609"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777" w:type="dxa"/>
            <w:vAlign w:val="center"/>
          </w:tcPr>
          <w:p>
            <w:pPr>
              <w:spacing w:before="40" w:after="40"/>
              <w:rPr>
                <w:rFonts w:eastAsia="黑体"/>
                <w:szCs w:val="21"/>
                <w:lang w:eastAsia="ja-JP"/>
              </w:rPr>
            </w:pPr>
          </w:p>
        </w:tc>
        <w:tc>
          <w:tcPr>
            <w:tcW w:w="609"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777" w:type="dxa"/>
            <w:vAlign w:val="center"/>
          </w:tcPr>
          <w:p>
            <w:pPr>
              <w:spacing w:before="40" w:after="40"/>
              <w:rPr>
                <w:rFonts w:eastAsia="黑体"/>
                <w:szCs w:val="21"/>
                <w:lang w:eastAsia="ja-JP"/>
              </w:rPr>
            </w:pPr>
          </w:p>
        </w:tc>
        <w:tc>
          <w:tcPr>
            <w:tcW w:w="609"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777" w:type="dxa"/>
            <w:vAlign w:val="center"/>
          </w:tcPr>
          <w:p>
            <w:pPr>
              <w:spacing w:before="40" w:after="40"/>
              <w:rPr>
                <w:rFonts w:eastAsia="黑体"/>
                <w:szCs w:val="21"/>
                <w:lang w:eastAsia="ja-JP"/>
              </w:rPr>
            </w:pPr>
          </w:p>
        </w:tc>
        <w:tc>
          <w:tcPr>
            <w:tcW w:w="609"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年5月26日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楷体" w:hAnsi="楷体" w:eastAsia="楷体" w:cs="楷体"/>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20" w:name="二阶段审核日期"/>
            <w:r>
              <w:rPr>
                <w:rFonts w:hint="eastAsia" w:ascii="宋体"/>
                <w:b/>
                <w:color w:val="000000"/>
                <w:szCs w:val="21"/>
              </w:rPr>
              <w:t>2021-10-0</w:t>
            </w:r>
            <w:bookmarkEnd w:id="20"/>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hAns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2021年10月13日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r>
              <w:rPr>
                <w:sz w:val="21"/>
              </w:rPr>
              <w:pict>
                <v:line id="_x0000_s1026" o:spid="_x0000_s1026" o:spt="20" style="position:absolute;left:0pt;flip:y;margin-left:20.45pt;margin-top:30.95pt;height:287.3pt;width:451.8pt;z-index:251660288;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13</w:t>
            </w:r>
            <w:bookmarkStart w:id="21" w:name="_GoBack"/>
            <w:bookmarkEnd w:id="21"/>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62DD27AF"/>
    <w:rsid w:val="64660E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2</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2021-10-13T02:24:12Z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