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集曼(江苏)特种门业有限公司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东台市金属材料产业园南沈灶镇明星园区18号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东台市金属材料产业园南沈灶镇明星园区18号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方勇</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18052926868</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2503993193@qq.com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6" w:name="最高管理者"/>
            <w:bookmarkEnd w:id="6"/>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r>
              <w:t>13390701126</w:t>
            </w:r>
            <w:bookmarkEnd w:id="7"/>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0028-2020-EO-2022</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r>
              <w:rPr>
                <w:rFonts w:hint="eastAsia" w:ascii="宋体" w:hAnsi="宋体"/>
                <w:b/>
                <w:bCs/>
                <w:sz w:val="20"/>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18" w:name="二阶段勾选"/>
            <w:r>
              <w:rPr>
                <w:rFonts w:hint="eastAsia" w:ascii="宋体" w:hAnsi="宋体"/>
                <w:b/>
                <w:bCs/>
                <w:sz w:val="20"/>
                <w:szCs w:val="22"/>
              </w:rPr>
              <w:t>□</w:t>
            </w:r>
            <w:bookmarkEnd w:id="18"/>
            <w:r>
              <w:rPr>
                <w:rFonts w:hint="eastAsia" w:ascii="宋体" w:hAnsi="宋体"/>
                <w:b/>
                <w:bCs/>
                <w:sz w:val="20"/>
                <w:szCs w:val="22"/>
              </w:rPr>
              <w:t>第二阶段审核：验证组织管理体系的建立、实施运行的符合性及有效性，以确定是否推荐认证注册。</w:t>
            </w:r>
          </w:p>
          <w:p>
            <w:pPr>
              <w:rPr>
                <w:rFonts w:hint="eastAsia" w:ascii="宋体" w:hAnsi="宋体"/>
                <w:b/>
                <w:bCs/>
                <w:sz w:val="20"/>
                <w:szCs w:val="22"/>
              </w:rPr>
            </w:pPr>
            <w:bookmarkStart w:id="19" w:name="再认证勾选Add1"/>
            <w:r>
              <w:rPr>
                <w:rFonts w:hint="eastAsia" w:ascii="宋体" w:hAnsi="宋体"/>
                <w:b/>
                <w:bCs/>
                <w:sz w:val="20"/>
                <w:szCs w:val="22"/>
              </w:rPr>
              <w:t>□</w:t>
            </w:r>
            <w:bookmarkEnd w:id="19"/>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r>
              <w:rPr>
                <w:rFonts w:hint="eastAsia" w:ascii="宋体" w:hAnsi="宋体"/>
                <w:b/>
                <w:bCs/>
                <w:sz w:val="20"/>
                <w:szCs w:val="22"/>
              </w:rPr>
              <w:t>■监督审核：评价组织管理体系的持续符合性和有效性，以确定是否推荐保持认证证书。</w:t>
            </w:r>
          </w:p>
          <w:p>
            <w:pPr>
              <w:rPr>
                <w:rFonts w:ascii="宋体" w:hAnsi="宋体"/>
                <w:b/>
                <w:bCs/>
                <w:sz w:val="20"/>
                <w:szCs w:val="22"/>
              </w:rPr>
            </w:pPr>
            <w:bookmarkStart w:id="20" w:name="特殊审核勾选"/>
            <w:r>
              <w:rPr>
                <w:rFonts w:hint="eastAsia" w:ascii="宋体" w:hAnsi="宋体"/>
                <w:b/>
                <w:bCs/>
                <w:sz w:val="20"/>
                <w:szCs w:val="22"/>
              </w:rPr>
              <w:t>□</w:t>
            </w:r>
            <w:bookmarkEnd w:id="20"/>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1" w:name="审核范围"/>
            <w:r>
              <w:rPr>
                <w:sz w:val="20"/>
              </w:rPr>
              <w:t>E：资质范围内钢质防火卷闸、防火钢门、隔断、特种门、金属吊顶、金属隔断的制造及销售；卷帘门、铝塑门窗、木制品及五金产品的销售及其所涉及场所的相关环境管理活动</w:t>
            </w:r>
          </w:p>
          <w:p>
            <w:pPr>
              <w:rPr>
                <w:sz w:val="20"/>
              </w:rPr>
            </w:pPr>
            <w:r>
              <w:rPr>
                <w:sz w:val="20"/>
              </w:rPr>
              <w:t>O：资质范围内钢质防火卷闸、防火钢门、隔断、特种门、金属吊顶、金属隔断的制造及销售；卷帘门、铝塑门窗、木制品及五金产品的销售及其所涉及场所的相关职业健康安全管理活动</w:t>
            </w:r>
            <w:bookmarkEnd w:id="21"/>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2" w:name="专业代码"/>
            <w:r>
              <w:rPr>
                <w:sz w:val="20"/>
              </w:rPr>
              <w:t>E：17.06.02;29.12.00</w:t>
            </w:r>
          </w:p>
          <w:p>
            <w:pPr>
              <w:jc w:val="left"/>
              <w:rPr>
                <w:sz w:val="20"/>
              </w:rPr>
            </w:pPr>
            <w:r>
              <w:rPr>
                <w:sz w:val="20"/>
              </w:rPr>
              <w:t>O：</w:t>
            </w:r>
            <w:bookmarkEnd w:id="22"/>
            <w:r>
              <w:rPr>
                <w:sz w:val="20"/>
              </w:rPr>
              <w:t>17.06.02;29.12.00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3" w:name="Q勾选Add1"/>
            <w:r>
              <w:rPr>
                <w:rFonts w:hint="eastAsia" w:ascii="宋体" w:hAnsi="宋体"/>
                <w:b/>
                <w:sz w:val="21"/>
                <w:szCs w:val="21"/>
              </w:rPr>
              <w:t>□</w:t>
            </w:r>
            <w:bookmarkEnd w:id="23"/>
            <w:r>
              <w:rPr>
                <w:rFonts w:hint="eastAsia" w:ascii="宋体" w:hAnsi="宋体"/>
                <w:b/>
                <w:sz w:val="21"/>
                <w:szCs w:val="21"/>
              </w:rPr>
              <w:t xml:space="preserve">GB/T19001-2016/ISO 9001:2015   </w:t>
            </w:r>
            <w:bookmarkStart w:id="24" w:name="QJ勾选"/>
            <w:r>
              <w:rPr>
                <w:rFonts w:hint="eastAsia" w:ascii="宋体" w:hAnsi="宋体"/>
                <w:b/>
                <w:sz w:val="21"/>
                <w:szCs w:val="21"/>
              </w:rPr>
              <w:t>□</w:t>
            </w:r>
            <w:bookmarkEnd w:id="24"/>
            <w:r>
              <w:rPr>
                <w:rFonts w:hint="eastAsia" w:ascii="宋体" w:hAnsi="宋体"/>
                <w:b/>
                <w:sz w:val="21"/>
                <w:szCs w:val="21"/>
              </w:rPr>
              <w:t>GB/T 50430-2017</w:t>
            </w:r>
            <w:bookmarkStart w:id="25" w:name="E勾选Add1"/>
            <w:r>
              <w:rPr>
                <w:rFonts w:hint="eastAsia" w:ascii="宋体" w:hAnsi="宋体"/>
                <w:b/>
                <w:sz w:val="21"/>
                <w:szCs w:val="21"/>
              </w:rPr>
              <w:t>■</w:t>
            </w:r>
            <w:bookmarkEnd w:id="25"/>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6" w:name="S勾选"/>
            <w:r>
              <w:rPr>
                <w:rFonts w:hint="eastAsia" w:ascii="宋体" w:hAnsi="宋体"/>
                <w:b/>
                <w:sz w:val="21"/>
                <w:szCs w:val="21"/>
              </w:rPr>
              <w:t>■</w:t>
            </w:r>
            <w:bookmarkEnd w:id="26"/>
            <w:r>
              <w:rPr>
                <w:rFonts w:hint="eastAsia" w:ascii="宋体" w:hAnsi="宋体"/>
                <w:b/>
                <w:sz w:val="21"/>
                <w:szCs w:val="21"/>
              </w:rPr>
              <w:t xml:space="preserve">GB/T45001-2020/ISO45001：2020标准 </w:t>
            </w:r>
            <w:bookmarkStart w:id="27" w:name="F勾选Add1"/>
            <w:r>
              <w:rPr>
                <w:rFonts w:hint="eastAsia" w:ascii="宋体" w:hAnsi="宋体"/>
                <w:b/>
                <w:sz w:val="21"/>
                <w:szCs w:val="21"/>
              </w:rPr>
              <w:t>□</w:t>
            </w:r>
            <w:bookmarkEnd w:id="27"/>
            <w:r>
              <w:rPr>
                <w:rFonts w:hint="eastAsia" w:ascii="宋体" w:hAnsi="宋体"/>
                <w:b/>
                <w:sz w:val="21"/>
                <w:szCs w:val="21"/>
              </w:rPr>
              <w:t xml:space="preserve">ISO 22000:2018 </w:t>
            </w:r>
          </w:p>
          <w:p>
            <w:pPr>
              <w:jc w:val="left"/>
              <w:rPr>
                <w:rFonts w:ascii="宋体" w:hAnsi="宋体"/>
                <w:b/>
                <w:sz w:val="21"/>
                <w:szCs w:val="21"/>
              </w:rPr>
            </w:pPr>
            <w:bookmarkStart w:id="28" w:name="H勾选Add1"/>
            <w:r>
              <w:rPr>
                <w:rFonts w:hint="eastAsia" w:ascii="宋体" w:hAnsi="宋体"/>
                <w:b/>
                <w:sz w:val="21"/>
                <w:szCs w:val="21"/>
              </w:rPr>
              <w:t>□</w:t>
            </w:r>
            <w:bookmarkEnd w:id="28"/>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29" w:name="EnMS勾选Add1"/>
            <w:r>
              <w:rPr>
                <w:rFonts w:hint="eastAsia" w:ascii="宋体" w:hAnsi="宋体"/>
                <w:b/>
                <w:sz w:val="21"/>
                <w:szCs w:val="21"/>
              </w:rPr>
              <w:t>□</w:t>
            </w:r>
            <w:bookmarkEnd w:id="29"/>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B/0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0" w:name="审核日期"/>
            <w:r>
              <w:rPr>
                <w:rFonts w:hint="eastAsia"/>
                <w:b/>
                <w:sz w:val="20"/>
              </w:rPr>
              <w:t>2022年03月12日 上午至2022年03月13日 下午</w:t>
            </w:r>
            <w:bookmarkEnd w:id="30"/>
            <w:r>
              <w:rPr>
                <w:rFonts w:hint="eastAsia"/>
                <w:b/>
                <w:sz w:val="20"/>
              </w:rPr>
              <w:t>(共</w:t>
            </w:r>
            <w:bookmarkStart w:id="31" w:name="审核天数"/>
            <w:r>
              <w:rPr>
                <w:rFonts w:hint="eastAsia"/>
                <w:b/>
                <w:sz w:val="20"/>
              </w:rPr>
              <w:t>2.0</w:t>
            </w:r>
            <w:bookmarkEnd w:id="31"/>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ascii="宋体" w:hAnsi="宋体"/>
                <w:b/>
                <w:bCs/>
                <w:sz w:val="20"/>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张磊</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2020-N1EMS-1258213</w:t>
            </w:r>
          </w:p>
          <w:p>
            <w:pPr>
              <w:jc w:val="center"/>
              <w:rPr>
                <w:sz w:val="20"/>
                <w:lang w:val="de-DE"/>
              </w:rPr>
            </w:pPr>
            <w:r>
              <w:rPr>
                <w:sz w:val="20"/>
                <w:lang w:val="de-DE"/>
              </w:rPr>
              <w:t>2020-N1OHSMS-1258213</w:t>
            </w:r>
          </w:p>
        </w:tc>
        <w:tc>
          <w:tcPr>
            <w:tcW w:w="1696" w:type="dxa"/>
            <w:gridSpan w:val="2"/>
            <w:vAlign w:val="center"/>
          </w:tcPr>
          <w:p>
            <w:pPr>
              <w:jc w:val="center"/>
              <w:rPr>
                <w:sz w:val="20"/>
                <w:lang w:val="de-DE"/>
              </w:rPr>
            </w:pPr>
            <w:r>
              <w:rPr>
                <w:sz w:val="20"/>
                <w:lang w:val="de-DE"/>
              </w:rPr>
              <w:t>E:17.06.02,29.12.00</w:t>
            </w:r>
          </w:p>
          <w:p>
            <w:pPr>
              <w:jc w:val="center"/>
              <w:rPr>
                <w:sz w:val="20"/>
                <w:lang w:val="de-DE"/>
              </w:rPr>
            </w:pPr>
            <w:r>
              <w:rPr>
                <w:sz w:val="20"/>
                <w:lang w:val="de-DE"/>
              </w:rPr>
              <w:t>O:17.06.02</w:t>
            </w:r>
          </w:p>
        </w:tc>
        <w:tc>
          <w:tcPr>
            <w:tcW w:w="1299" w:type="dxa"/>
            <w:gridSpan w:val="4"/>
            <w:vAlign w:val="center"/>
          </w:tcPr>
          <w:p>
            <w:pPr>
              <w:jc w:val="center"/>
              <w:rPr>
                <w:sz w:val="20"/>
                <w:lang w:val="de-DE"/>
              </w:rPr>
            </w:pPr>
            <w:r>
              <w:rPr>
                <w:sz w:val="20"/>
                <w:lang w:val="de-DE"/>
              </w:rPr>
              <w:t>17621168040</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3"/>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sz w:val="21"/>
                <w:szCs w:val="21"/>
              </w:rPr>
            </w:pP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r>
              <w:rPr>
                <w:rFonts w:hint="eastAsia" w:eastAsia="宋体"/>
                <w:sz w:val="21"/>
                <w:szCs w:val="21"/>
                <w:lang w:eastAsia="zh-CN"/>
              </w:rPr>
              <w:drawing>
                <wp:inline distT="0" distB="0" distL="114300" distR="114300">
                  <wp:extent cx="946150" cy="414655"/>
                  <wp:effectExtent l="0" t="0" r="6350" b="0"/>
                  <wp:docPr id="1" name="图片 1" descr="a9f1505823b5a2656c0fbf5bcb33d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9f1505823b5a2656c0fbf5bcb33d96"/>
                          <pic:cNvPicPr>
                            <a:picLocks noChangeAspect="1"/>
                          </pic:cNvPicPr>
                        </pic:nvPicPr>
                        <pic:blipFill>
                          <a:blip r:embed="rId5"/>
                          <a:stretch>
                            <a:fillRect/>
                          </a:stretch>
                        </pic:blipFill>
                        <pic:spPr>
                          <a:xfrm>
                            <a:off x="0" y="0"/>
                            <a:ext cx="946150" cy="414655"/>
                          </a:xfrm>
                          <a:prstGeom prst="rect">
                            <a:avLst/>
                          </a:prstGeom>
                        </pic:spPr>
                      </pic:pic>
                    </a:graphicData>
                  </a:graphic>
                </wp:inline>
              </w:drawing>
            </w:r>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sz w:val="21"/>
                <w:szCs w:val="21"/>
              </w:rPr>
            </w:pP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sz w:val="21"/>
                <w:szCs w:val="21"/>
              </w:rPr>
            </w:pP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p>
        </w:tc>
        <w:tc>
          <w:tcPr>
            <w:tcW w:w="2061" w:type="dxa"/>
            <w:gridSpan w:val="5"/>
            <w:vAlign w:val="center"/>
          </w:tcPr>
          <w:p>
            <w:pPr>
              <w:rPr>
                <w:sz w:val="21"/>
                <w:szCs w:val="21"/>
              </w:rPr>
            </w:pPr>
            <w:r>
              <w:rPr>
                <w:rFonts w:hint="eastAsia"/>
                <w:sz w:val="20"/>
              </w:rPr>
              <w:t>日期</w:t>
            </w:r>
          </w:p>
        </w:tc>
        <w:tc>
          <w:tcPr>
            <w:tcW w:w="1380" w:type="dxa"/>
            <w:vAlign w:val="center"/>
          </w:tcPr>
          <w:p>
            <w:pPr>
              <w:rPr>
                <w:sz w:val="21"/>
                <w:szCs w:val="21"/>
              </w:rPr>
            </w:pPr>
          </w:p>
        </w:tc>
      </w:tr>
    </w:tbl>
    <w:p/>
    <w:p/>
    <w:p>
      <w:pPr>
        <w:pStyle w:val="2"/>
      </w:pPr>
    </w:p>
    <w:tbl>
      <w:tblPr>
        <w:tblStyle w:val="6"/>
        <w:tblW w:w="10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910"/>
        <w:gridCol w:w="7518"/>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861" w:type="dxa"/>
            <w:gridSpan w:val="4"/>
            <w:tcBorders>
              <w:top w:val="single" w:color="auto" w:sz="8" w:space="0"/>
              <w:left w:val="single" w:color="auto" w:sz="8" w:space="0"/>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86" w:type="dxa"/>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日期</w:t>
            </w:r>
          </w:p>
        </w:tc>
        <w:tc>
          <w:tcPr>
            <w:tcW w:w="910" w:type="dxa"/>
            <w:noWrap w:val="0"/>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时间</w:t>
            </w:r>
          </w:p>
        </w:tc>
        <w:tc>
          <w:tcPr>
            <w:tcW w:w="7518" w:type="dxa"/>
            <w:noWrap w:val="0"/>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受审核部门、场所及审核内容</w:t>
            </w:r>
          </w:p>
        </w:tc>
        <w:tc>
          <w:tcPr>
            <w:tcW w:w="1347"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1086" w:type="dxa"/>
            <w:vMerge w:val="restart"/>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eastAsia="宋体" w:cs="Times New Roman"/>
                <w:b/>
                <w:kern w:val="2"/>
                <w:sz w:val="21"/>
                <w:szCs w:val="21"/>
                <w:lang w:val="en-US" w:eastAsia="zh-CN" w:bidi="ar-SA"/>
              </w:rPr>
              <w:t>202</w:t>
            </w:r>
            <w:r>
              <w:rPr>
                <w:rFonts w:hint="eastAsia" w:cs="Times New Roman"/>
                <w:b/>
                <w:kern w:val="2"/>
                <w:sz w:val="21"/>
                <w:szCs w:val="21"/>
                <w:lang w:val="en-US" w:eastAsia="zh-CN" w:bidi="ar-SA"/>
              </w:rPr>
              <w:t>2</w:t>
            </w:r>
            <w:r>
              <w:rPr>
                <w:rFonts w:hint="eastAsia" w:ascii="Times New Roman" w:hAnsi="Times New Roman" w:eastAsia="宋体" w:cs="Times New Roman"/>
                <w:b/>
                <w:kern w:val="2"/>
                <w:sz w:val="21"/>
                <w:szCs w:val="21"/>
                <w:lang w:val="en-US" w:eastAsia="zh-CN" w:bidi="ar-SA"/>
              </w:rPr>
              <w:t>.</w:t>
            </w:r>
            <w:r>
              <w:rPr>
                <w:rFonts w:hint="eastAsia" w:cs="Times New Roman"/>
                <w:b/>
                <w:kern w:val="2"/>
                <w:sz w:val="21"/>
                <w:szCs w:val="21"/>
                <w:lang w:val="en-US" w:eastAsia="zh-CN" w:bidi="ar-SA"/>
              </w:rPr>
              <w:t>3</w:t>
            </w:r>
            <w:r>
              <w:rPr>
                <w:rFonts w:hint="eastAsia" w:ascii="Times New Roman" w:hAnsi="Times New Roman" w:eastAsia="宋体" w:cs="Times New Roman"/>
                <w:b/>
                <w:kern w:val="2"/>
                <w:sz w:val="21"/>
                <w:szCs w:val="21"/>
                <w:lang w:val="en-US" w:eastAsia="zh-CN" w:bidi="ar-SA"/>
              </w:rPr>
              <w:t>.</w:t>
            </w:r>
            <w:r>
              <w:rPr>
                <w:rFonts w:hint="eastAsia" w:cs="Times New Roman"/>
                <w:b/>
                <w:kern w:val="2"/>
                <w:sz w:val="21"/>
                <w:szCs w:val="21"/>
                <w:lang w:val="en-US" w:eastAsia="zh-CN" w:bidi="ar-SA"/>
              </w:rPr>
              <w:t>12</w:t>
            </w:r>
          </w:p>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2"/>
                <w:sz w:val="21"/>
                <w:szCs w:val="21"/>
                <w:lang w:val="en-US" w:eastAsia="zh-CN" w:bidi="ar-SA"/>
              </w:rPr>
            </w:pPr>
          </w:p>
        </w:tc>
        <w:tc>
          <w:tcPr>
            <w:tcW w:w="910"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09</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09</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7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b/>
                <w:bCs/>
                <w:sz w:val="21"/>
                <w:szCs w:val="21"/>
              </w:rPr>
              <w:t>首次会议（管理层）</w:t>
            </w:r>
          </w:p>
        </w:tc>
        <w:tc>
          <w:tcPr>
            <w:tcW w:w="1347"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sz w:val="20"/>
                <w:lang w:val="en-US" w:eastAsia="zh-CN"/>
              </w:rPr>
              <w:t>张磊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1086" w:type="dxa"/>
            <w:vMerge w:val="continue"/>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910"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09</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10</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7518" w:type="dxa"/>
            <w:noWrap w:val="0"/>
            <w:vAlign w:val="center"/>
          </w:tcPr>
          <w:p>
            <w:pPr>
              <w:spacing w:line="300" w:lineRule="exact"/>
              <w:rPr>
                <w:rFonts w:ascii="Times New Roman" w:hAnsi="Times New Roman" w:eastAsia="宋体" w:cs="Times New Roman"/>
                <w:b/>
                <w:kern w:val="2"/>
                <w:sz w:val="21"/>
                <w:szCs w:val="21"/>
                <w:lang w:val="en-US" w:eastAsia="zh-CN" w:bidi="ar-SA"/>
              </w:rPr>
            </w:pPr>
            <w:r>
              <w:rPr>
                <w:rFonts w:hint="eastAsia"/>
                <w:sz w:val="21"/>
                <w:szCs w:val="21"/>
                <w:lang w:val="en-US" w:eastAsia="zh-CN"/>
              </w:rPr>
              <w:t>财务部</w:t>
            </w:r>
            <w:r>
              <w:rPr>
                <w:rFonts w:hint="eastAsia"/>
                <w:sz w:val="21"/>
                <w:szCs w:val="21"/>
              </w:rPr>
              <w:t>：</w:t>
            </w:r>
            <w:r>
              <w:rPr>
                <w:rFonts w:hint="eastAsia"/>
                <w:b w:val="0"/>
                <w:bCs w:val="0"/>
                <w:sz w:val="20"/>
                <w:lang w:val="de-DE"/>
              </w:rPr>
              <w:t>E</w:t>
            </w:r>
            <w:r>
              <w:rPr>
                <w:rFonts w:hint="eastAsia"/>
                <w:b w:val="0"/>
                <w:bCs w:val="0"/>
                <w:sz w:val="20"/>
                <w:lang w:val="en-US" w:eastAsia="zh-CN"/>
              </w:rPr>
              <w:t>O</w:t>
            </w:r>
            <w:r>
              <w:rPr>
                <w:rFonts w:hint="eastAsia" w:ascii="宋体" w:hAnsi="宋体" w:cs="新宋体"/>
                <w:sz w:val="18"/>
                <w:szCs w:val="18"/>
              </w:rPr>
              <w:t>5.3组织的角色、职责和权限；7.1资源；</w:t>
            </w:r>
          </w:p>
        </w:tc>
        <w:tc>
          <w:tcPr>
            <w:tcW w:w="1347" w:type="dxa"/>
            <w:tcBorders>
              <w:right w:val="single" w:color="auto" w:sz="8" w:space="0"/>
            </w:tcBorders>
            <w:noWrap w:val="0"/>
            <w:vAlign w:val="center"/>
          </w:tcPr>
          <w:p>
            <w:pPr>
              <w:jc w:val="center"/>
              <w:rPr>
                <w:rFonts w:hint="eastAsia" w:ascii="Times New Roman" w:hAnsi="Times New Roman" w:eastAsia="宋体" w:cs="Times New Roman"/>
                <w:b w:val="0"/>
                <w:bCs w:val="0"/>
                <w:kern w:val="2"/>
                <w:sz w:val="21"/>
                <w:szCs w:val="21"/>
                <w:lang w:val="en-US" w:eastAsia="zh-CN" w:bidi="ar-SA"/>
              </w:rPr>
            </w:pPr>
            <w:r>
              <w:rPr>
                <w:rFonts w:hint="eastAsia"/>
                <w:sz w:val="20"/>
                <w:lang w:val="en-US" w:eastAsia="zh-CN"/>
              </w:rPr>
              <w:t>张磊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1086" w:type="dxa"/>
            <w:vMerge w:val="continue"/>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910"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b w:val="0"/>
                <w:bCs w:val="0"/>
                <w:sz w:val="21"/>
                <w:szCs w:val="21"/>
                <w:lang w:val="en-US" w:eastAsia="zh-CN"/>
              </w:rPr>
            </w:pPr>
            <w:r>
              <w:rPr>
                <w:rFonts w:hint="eastAsia" w:ascii="宋体" w:hAnsi="宋体"/>
                <w:sz w:val="21"/>
                <w:szCs w:val="21"/>
                <w:lang w:val="en-US" w:eastAsia="zh-CN"/>
              </w:rPr>
              <w:t>10</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7518" w:type="dxa"/>
            <w:noWrap w:val="0"/>
            <w:vAlign w:val="center"/>
          </w:tcPr>
          <w:p>
            <w:pPr>
              <w:snapToGrid w:val="0"/>
              <w:spacing w:line="240" w:lineRule="exact"/>
              <w:rPr>
                <w:rFonts w:hint="eastAsia" w:ascii="Times New Roman" w:hAnsi="Times New Roman" w:cs="Times New Roman"/>
                <w:sz w:val="20"/>
                <w:lang w:val="de-DE"/>
              </w:rPr>
            </w:pPr>
            <w:r>
              <w:rPr>
                <w:rFonts w:hint="eastAsia" w:ascii="宋体" w:hAnsi="宋体" w:cs="新宋体"/>
                <w:sz w:val="21"/>
                <w:szCs w:val="21"/>
                <w:lang w:val="en-US" w:eastAsia="zh-CN"/>
              </w:rPr>
              <w:t>销售部</w:t>
            </w:r>
            <w:r>
              <w:rPr>
                <w:rFonts w:hint="eastAsia"/>
                <w:sz w:val="21"/>
                <w:szCs w:val="21"/>
                <w:lang w:val="en-US" w:eastAsia="zh-CN"/>
              </w:rPr>
              <w:t>：</w:t>
            </w:r>
            <w:r>
              <w:rPr>
                <w:rFonts w:hint="eastAsia" w:ascii="Times New Roman" w:hAnsi="Times New Roman" w:cs="Times New Roman"/>
                <w:sz w:val="20"/>
                <w:lang w:val="de-DE"/>
              </w:rPr>
              <w:t xml:space="preserve">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5.3组织的角色、职责和权限、6.1.2环境因素；6.2目标及其达成的策划；8.1运行策划和控制；8.2应急准备和响应</w:t>
            </w:r>
          </w:p>
          <w:p>
            <w:pPr>
              <w:snapToGrid w:val="0"/>
              <w:spacing w:line="240" w:lineRule="exact"/>
              <w:rPr>
                <w:rFonts w:ascii="宋体" w:hAnsi="宋体" w:cs="新宋体"/>
                <w:sz w:val="18"/>
                <w:szCs w:val="18"/>
              </w:rPr>
            </w:pPr>
            <w:r>
              <w:rPr>
                <w:rFonts w:hint="eastAsia"/>
                <w:sz w:val="20"/>
                <w:lang w:val="de-DE"/>
              </w:rPr>
              <w:t>ISO 45001：2018</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cs="新宋体"/>
                <w:sz w:val="18"/>
                <w:szCs w:val="18"/>
              </w:rPr>
            </w:pPr>
            <w:r>
              <w:rPr>
                <w:rFonts w:hint="eastAsia" w:ascii="宋体" w:hAnsi="宋体" w:cs="新宋体"/>
                <w:sz w:val="18"/>
                <w:szCs w:val="18"/>
              </w:rPr>
              <w:t>5.3组织的角色、职责和权限；6.1.2危险源辨识和职业安全风险评价；6.2目标及其实现的策划；8.1运行策划和控制；8.2应急准备和响应；</w:t>
            </w:r>
          </w:p>
        </w:tc>
        <w:tc>
          <w:tcPr>
            <w:tcW w:w="1347" w:type="dxa"/>
            <w:tcBorders>
              <w:right w:val="single" w:color="auto" w:sz="8" w:space="0"/>
            </w:tcBorders>
            <w:noWrap w:val="0"/>
            <w:vAlign w:val="center"/>
          </w:tcPr>
          <w:p>
            <w:pPr>
              <w:jc w:val="center"/>
              <w:rPr>
                <w:rFonts w:hint="default" w:eastAsia="宋体" w:cs="Times New Roman"/>
                <w:sz w:val="20"/>
                <w:lang w:val="en-US" w:eastAsia="zh-CN"/>
              </w:rPr>
            </w:pPr>
            <w:r>
              <w:rPr>
                <w:rFonts w:hint="eastAsia"/>
                <w:sz w:val="20"/>
                <w:lang w:val="en-US" w:eastAsia="zh-CN"/>
              </w:rPr>
              <w:t>张磊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1086" w:type="dxa"/>
            <w:vMerge w:val="continue"/>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2"/>
                <w:sz w:val="21"/>
                <w:szCs w:val="21"/>
                <w:lang w:val="en-US" w:eastAsia="zh-CN" w:bidi="ar-SA"/>
              </w:rPr>
            </w:pPr>
          </w:p>
        </w:tc>
        <w:tc>
          <w:tcPr>
            <w:tcW w:w="910"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14</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7518" w:type="dxa"/>
            <w:noWrap w:val="0"/>
            <w:vAlign w:val="center"/>
          </w:tcPr>
          <w:p>
            <w:pPr>
              <w:snapToGrid w:val="0"/>
              <w:spacing w:line="240" w:lineRule="exact"/>
              <w:rPr>
                <w:rFonts w:hint="eastAsia" w:ascii="Times New Roman" w:hAnsi="Times New Roman" w:cs="Times New Roman"/>
                <w:sz w:val="20"/>
                <w:lang w:val="de-DE"/>
              </w:rPr>
            </w:pPr>
            <w:r>
              <w:rPr>
                <w:rFonts w:hint="eastAsia"/>
                <w:sz w:val="21"/>
                <w:szCs w:val="21"/>
                <w:lang w:val="en-US" w:eastAsia="zh-CN"/>
              </w:rPr>
              <w:t>综合部</w:t>
            </w:r>
            <w:r>
              <w:rPr>
                <w:rFonts w:hint="eastAsia" w:ascii="Times New Roman" w:hAnsi="Times New Roman" w:cs="Times New Roman"/>
                <w:sz w:val="20"/>
                <w:lang w:val="de-DE"/>
              </w:rPr>
              <w:t xml:space="preserve">EMS-2015 </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cs="新宋体"/>
                <w:sz w:val="18"/>
                <w:szCs w:val="18"/>
              </w:rPr>
            </w:pPr>
            <w:r>
              <w:rPr>
                <w:rFonts w:hint="eastAsia" w:ascii="宋体" w:hAnsi="宋体" w:cs="新宋体"/>
                <w:sz w:val="18"/>
                <w:szCs w:val="18"/>
              </w:rPr>
              <w:t>5.3组织的角色、职责和权限; 6.1.2环境因素； 6.1.3合规义务；6.2目标及其达成的策划；8.1运行策划和控制；8.2应急准备和响应；9.1.1监视、测量、分析和评价总则；9.1.2合规性评价；9.2内部审核</w:t>
            </w:r>
            <w:r>
              <w:rPr>
                <w:rFonts w:hint="eastAsia" w:ascii="宋体" w:hAnsi="宋体" w:cs="新宋体"/>
                <w:sz w:val="18"/>
                <w:szCs w:val="18"/>
                <w:lang w:eastAsia="zh-CN"/>
              </w:rPr>
              <w:t>；</w:t>
            </w:r>
            <w:r>
              <w:rPr>
                <w:rFonts w:hint="eastAsia" w:ascii="宋体" w:hAnsi="宋体" w:cs="新宋体"/>
                <w:sz w:val="18"/>
                <w:szCs w:val="18"/>
              </w:rPr>
              <w:t>10.2不符合和纠正措施；</w:t>
            </w:r>
          </w:p>
          <w:p>
            <w:pPr>
              <w:snapToGrid w:val="0"/>
              <w:spacing w:line="240" w:lineRule="exact"/>
              <w:rPr>
                <w:rFonts w:ascii="宋体" w:hAnsi="宋体" w:cs="新宋体"/>
                <w:sz w:val="18"/>
                <w:szCs w:val="18"/>
              </w:rPr>
            </w:pPr>
            <w:r>
              <w:rPr>
                <w:rFonts w:hint="eastAsia"/>
                <w:sz w:val="20"/>
                <w:lang w:val="de-DE"/>
              </w:rPr>
              <w:t>ISO 45001：2018</w:t>
            </w:r>
          </w:p>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sz w:val="21"/>
                <w:szCs w:val="21"/>
                <w:lang w:val="en-US" w:eastAsia="zh-CN"/>
              </w:rPr>
            </w:pPr>
            <w:r>
              <w:rPr>
                <w:rFonts w:hint="eastAsia" w:ascii="宋体" w:hAnsi="宋体" w:cs="新宋体"/>
                <w:sz w:val="18"/>
                <w:szCs w:val="18"/>
              </w:rPr>
              <w:t>5.3组织的角色、职责和权限；6.1.3法律法规要求和其他要求；6.1.2危险源辨识和职业安全风险评价； 6.2目标及其实现的策划；8.1运行策划和控制；8.2应急准备和响应；；9.1.1监视、测量、分析和评价总则 9.1.2合规性评价；9.2内部审核</w:t>
            </w:r>
            <w:r>
              <w:rPr>
                <w:rFonts w:hint="eastAsia" w:ascii="宋体" w:hAnsi="宋体" w:cs="新宋体"/>
                <w:sz w:val="18"/>
                <w:szCs w:val="18"/>
                <w:lang w:eastAsia="zh-CN"/>
              </w:rPr>
              <w:t>；</w:t>
            </w:r>
            <w:r>
              <w:rPr>
                <w:rFonts w:hint="eastAsia" w:ascii="宋体" w:hAnsi="宋体" w:cs="新宋体"/>
                <w:sz w:val="18"/>
                <w:szCs w:val="18"/>
              </w:rPr>
              <w:t>10.2事件、不符合和纠正措施；</w:t>
            </w:r>
          </w:p>
        </w:tc>
        <w:tc>
          <w:tcPr>
            <w:tcW w:w="1347" w:type="dxa"/>
            <w:tcBorders>
              <w:right w:val="single" w:color="auto" w:sz="8" w:space="0"/>
            </w:tcBorders>
            <w:noWrap w:val="0"/>
            <w:vAlign w:val="center"/>
          </w:tcPr>
          <w:p>
            <w:pPr>
              <w:jc w:val="center"/>
              <w:rPr>
                <w:rFonts w:hint="eastAsia" w:ascii="Times New Roman" w:hAnsi="Times New Roman" w:eastAsia="宋体" w:cs="Times New Roman"/>
                <w:b w:val="0"/>
                <w:bCs w:val="0"/>
                <w:kern w:val="2"/>
                <w:sz w:val="21"/>
                <w:szCs w:val="21"/>
                <w:lang w:val="en-US" w:eastAsia="zh-CN" w:bidi="ar-SA"/>
              </w:rPr>
            </w:pPr>
            <w:r>
              <w:rPr>
                <w:rFonts w:hint="eastAsia"/>
                <w:sz w:val="20"/>
                <w:lang w:val="en-US" w:eastAsia="zh-CN"/>
              </w:rPr>
              <w:t>张磊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1086" w:type="dxa"/>
            <w:vMerge w:val="continue"/>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910"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14</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0-1</w:t>
            </w:r>
            <w:r>
              <w:rPr>
                <w:rFonts w:hint="eastAsia" w:ascii="宋体" w:hAnsi="宋体"/>
                <w:sz w:val="21"/>
                <w:szCs w:val="21"/>
                <w:lang w:val="en-US" w:eastAsia="zh-CN"/>
              </w:rPr>
              <w:t>7</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7518" w:type="dxa"/>
            <w:noWrap w:val="0"/>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cs="新宋体"/>
                <w:sz w:val="18"/>
                <w:szCs w:val="18"/>
                <w:lang w:val="de-DE"/>
              </w:rPr>
            </w:pPr>
            <w:r>
              <w:rPr>
                <w:rFonts w:hint="eastAsia" w:ascii="宋体" w:hAnsi="宋体" w:cs="新宋体"/>
                <w:sz w:val="18"/>
                <w:szCs w:val="18"/>
              </w:rPr>
              <w:t>管理层</w:t>
            </w:r>
            <w:r>
              <w:rPr>
                <w:rFonts w:hint="eastAsia" w:ascii="宋体" w:hAnsi="宋体" w:cs="新宋体"/>
                <w:sz w:val="18"/>
                <w:szCs w:val="18"/>
                <w:lang w:val="en-US" w:eastAsia="zh-CN"/>
              </w:rPr>
              <w:t>（含员工代表）</w:t>
            </w:r>
            <w:r>
              <w:rPr>
                <w:rFonts w:hint="eastAsia" w:ascii="宋体" w:hAnsi="宋体" w:cs="新宋体"/>
                <w:sz w:val="18"/>
                <w:szCs w:val="18"/>
              </w:rPr>
              <w:t>：</w:t>
            </w:r>
            <w:r>
              <w:rPr>
                <w:rFonts w:hint="eastAsia" w:ascii="宋体" w:hAnsi="宋体" w:cs="新宋体"/>
                <w:sz w:val="18"/>
                <w:szCs w:val="18"/>
                <w:lang w:val="de-DE"/>
              </w:rPr>
              <w:t xml:space="preserve">EMS-2015 </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 6.1.1策划总则；6.1.4措施的策划；6.2目标及其实现的策划；9.3管理评审；10.1改进 总则；10.3持续改进。</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cs="新宋体"/>
                <w:sz w:val="18"/>
                <w:szCs w:val="18"/>
              </w:rPr>
            </w:pPr>
            <w:r>
              <w:rPr>
                <w:rFonts w:hint="eastAsia" w:ascii="宋体" w:hAnsi="宋体" w:cs="新宋体"/>
                <w:sz w:val="18"/>
                <w:szCs w:val="18"/>
                <w:lang w:val="de-DE"/>
              </w:rPr>
              <w:t>ISO 45001：2018</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5.4员工参与和协商；6.1应对风险和机遇的措施6.1.4措施的策划；6.2目标及其实现的策划；9.3管理评审；10.1事件、不符合和纠正措施；10.3持续改进。</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cs="新宋体"/>
                <w:sz w:val="18"/>
                <w:szCs w:val="18"/>
              </w:rPr>
            </w:pPr>
            <w:r>
              <w:rPr>
                <w:rFonts w:hint="eastAsia" w:ascii="宋体" w:hAnsi="宋体" w:cs="新宋体"/>
                <w:sz w:val="18"/>
                <w:szCs w:val="18"/>
                <w:lang w:val="en-US" w:eastAsia="zh-CN"/>
              </w:rPr>
              <w:t>资质验证/范围再确认/第一次监督审核阶段问题验证/投诉或事故/政府主管部门监督抽查情况。</w:t>
            </w:r>
          </w:p>
        </w:tc>
        <w:tc>
          <w:tcPr>
            <w:tcW w:w="1347" w:type="dxa"/>
            <w:tcBorders>
              <w:right w:val="single" w:color="auto" w:sz="8" w:space="0"/>
            </w:tcBorders>
            <w:noWrap w:val="0"/>
            <w:vAlign w:val="center"/>
          </w:tcPr>
          <w:p>
            <w:pPr>
              <w:jc w:val="center"/>
              <w:rPr>
                <w:rFonts w:hint="eastAsia" w:cs="Times New Roman"/>
                <w:sz w:val="20"/>
                <w:lang w:val="en-US" w:eastAsia="zh-CN"/>
              </w:rPr>
            </w:pPr>
            <w:r>
              <w:rPr>
                <w:rFonts w:hint="eastAsia"/>
                <w:sz w:val="20"/>
                <w:lang w:val="en-US" w:eastAsia="zh-CN"/>
              </w:rPr>
              <w:t>张磊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jc w:val="center"/>
        </w:trPr>
        <w:tc>
          <w:tcPr>
            <w:tcW w:w="1086" w:type="dxa"/>
            <w:vMerge w:val="restart"/>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eastAsia="宋体" w:cs="Times New Roman"/>
                <w:b/>
                <w:kern w:val="2"/>
                <w:sz w:val="21"/>
                <w:szCs w:val="21"/>
                <w:lang w:val="en-US" w:eastAsia="zh-CN" w:bidi="ar-SA"/>
              </w:rPr>
              <w:t>202</w:t>
            </w:r>
            <w:r>
              <w:rPr>
                <w:rFonts w:hint="eastAsia" w:cs="Times New Roman"/>
                <w:b/>
                <w:kern w:val="2"/>
                <w:sz w:val="21"/>
                <w:szCs w:val="21"/>
                <w:lang w:val="en-US" w:eastAsia="zh-CN" w:bidi="ar-SA"/>
              </w:rPr>
              <w:t>2</w:t>
            </w:r>
            <w:r>
              <w:rPr>
                <w:rFonts w:hint="eastAsia" w:ascii="Times New Roman" w:hAnsi="Times New Roman" w:eastAsia="宋体" w:cs="Times New Roman"/>
                <w:b/>
                <w:kern w:val="2"/>
                <w:sz w:val="21"/>
                <w:szCs w:val="21"/>
                <w:lang w:val="en-US" w:eastAsia="zh-CN" w:bidi="ar-SA"/>
              </w:rPr>
              <w:t>.</w:t>
            </w:r>
            <w:r>
              <w:rPr>
                <w:rFonts w:hint="eastAsia" w:cs="Times New Roman"/>
                <w:b/>
                <w:kern w:val="2"/>
                <w:sz w:val="21"/>
                <w:szCs w:val="21"/>
                <w:lang w:val="en-US" w:eastAsia="zh-CN" w:bidi="ar-SA"/>
              </w:rPr>
              <w:t>3</w:t>
            </w:r>
            <w:r>
              <w:rPr>
                <w:rFonts w:hint="eastAsia" w:ascii="Times New Roman" w:hAnsi="Times New Roman" w:eastAsia="宋体" w:cs="Times New Roman"/>
                <w:b/>
                <w:kern w:val="2"/>
                <w:sz w:val="21"/>
                <w:szCs w:val="21"/>
                <w:lang w:val="en-US" w:eastAsia="zh-CN" w:bidi="ar-SA"/>
              </w:rPr>
              <w:t>.</w:t>
            </w:r>
            <w:r>
              <w:rPr>
                <w:rFonts w:hint="eastAsia" w:cs="Times New Roman"/>
                <w:b/>
                <w:kern w:val="2"/>
                <w:sz w:val="21"/>
                <w:szCs w:val="21"/>
                <w:lang w:val="en-US" w:eastAsia="zh-CN" w:bidi="ar-SA"/>
              </w:rPr>
              <w:t>13</w:t>
            </w:r>
          </w:p>
        </w:tc>
        <w:tc>
          <w:tcPr>
            <w:tcW w:w="910"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08：00-12：00</w:t>
            </w:r>
          </w:p>
        </w:tc>
        <w:tc>
          <w:tcPr>
            <w:tcW w:w="7518" w:type="dxa"/>
            <w:noWrap w:val="0"/>
            <w:vAlign w:val="center"/>
          </w:tcPr>
          <w:p>
            <w:pPr>
              <w:snapToGrid w:val="0"/>
              <w:spacing w:line="240" w:lineRule="exact"/>
              <w:rPr>
                <w:rFonts w:hint="default" w:ascii="Times New Roman" w:hAnsi="Times New Roman" w:eastAsia="宋体" w:cs="Times New Roman"/>
                <w:sz w:val="20"/>
                <w:lang w:val="en-US" w:eastAsia="zh-CN"/>
              </w:rPr>
            </w:pPr>
            <w:r>
              <w:rPr>
                <w:rFonts w:hint="eastAsia"/>
                <w:sz w:val="21"/>
                <w:szCs w:val="21"/>
                <w:lang w:val="en-US" w:eastAsia="zh-CN"/>
              </w:rPr>
              <w:t>生产</w:t>
            </w:r>
            <w:r>
              <w:rPr>
                <w:rFonts w:hint="eastAsia"/>
                <w:sz w:val="21"/>
                <w:szCs w:val="21"/>
              </w:rPr>
              <w:t>部：</w:t>
            </w:r>
            <w:r>
              <w:rPr>
                <w:rFonts w:hint="eastAsia" w:ascii="Times New Roman" w:hAnsi="Times New Roman" w:cs="Times New Roman"/>
                <w:sz w:val="20"/>
                <w:lang w:val="de-DE"/>
              </w:rPr>
              <w:t xml:space="preserve">EMS-2015 </w:t>
            </w:r>
          </w:p>
          <w:p>
            <w:pPr>
              <w:snapToGrid w:val="0"/>
              <w:spacing w:line="240" w:lineRule="exact"/>
              <w:rPr>
                <w:rFonts w:hint="default" w:ascii="宋体" w:hAnsi="宋体" w:cs="新宋体"/>
                <w:sz w:val="18"/>
                <w:szCs w:val="18"/>
                <w:lang w:val="en-US" w:eastAsia="zh-CN"/>
              </w:rPr>
            </w:pPr>
            <w:r>
              <w:rPr>
                <w:rFonts w:hint="eastAsia" w:ascii="宋体" w:hAnsi="宋体" w:cs="新宋体"/>
                <w:sz w:val="18"/>
                <w:szCs w:val="18"/>
              </w:rPr>
              <w:t>5.3组织的角色、职责和权限、6.1.2环境因素；6.2目标及其达成的策划；8.1运行策划和控制；8.2应急准备和响应</w:t>
            </w:r>
            <w:r>
              <w:rPr>
                <w:rFonts w:hint="eastAsia" w:ascii="宋体" w:hAnsi="宋体" w:cs="新宋体"/>
                <w:sz w:val="18"/>
                <w:szCs w:val="18"/>
                <w:lang w:eastAsia="zh-CN"/>
              </w:rPr>
              <w:t>；9.1</w:t>
            </w:r>
            <w:r>
              <w:rPr>
                <w:rFonts w:hint="eastAsia" w:ascii="宋体" w:hAnsi="宋体" w:cs="新宋体"/>
                <w:sz w:val="18"/>
                <w:szCs w:val="18"/>
                <w:lang w:val="en-US" w:eastAsia="zh-CN"/>
              </w:rPr>
              <w:t>.1</w:t>
            </w:r>
            <w:r>
              <w:rPr>
                <w:rFonts w:hint="eastAsia" w:ascii="宋体" w:hAnsi="宋体" w:cs="新宋体"/>
                <w:sz w:val="18"/>
                <w:szCs w:val="18"/>
                <w:lang w:eastAsia="zh-CN"/>
              </w:rPr>
              <w:t xml:space="preserve"> 监视、测量、分析和评价绩效</w:t>
            </w:r>
            <w:r>
              <w:rPr>
                <w:rFonts w:hint="eastAsia" w:ascii="宋体" w:hAnsi="宋体" w:cs="新宋体"/>
                <w:sz w:val="18"/>
                <w:szCs w:val="18"/>
                <w:lang w:val="en-US" w:eastAsia="zh-CN"/>
              </w:rPr>
              <w:t xml:space="preserve"> 总则</w:t>
            </w:r>
          </w:p>
          <w:p>
            <w:pPr>
              <w:snapToGrid w:val="0"/>
              <w:spacing w:line="240" w:lineRule="exact"/>
              <w:rPr>
                <w:rFonts w:ascii="宋体" w:hAnsi="宋体" w:cs="新宋体"/>
                <w:sz w:val="18"/>
                <w:szCs w:val="18"/>
              </w:rPr>
            </w:pPr>
            <w:r>
              <w:rPr>
                <w:rFonts w:hint="eastAsia"/>
                <w:sz w:val="20"/>
                <w:lang w:val="de-DE"/>
              </w:rPr>
              <w:t>ISO 45001：2018</w:t>
            </w:r>
          </w:p>
          <w:p>
            <w:pPr>
              <w:pStyle w:val="2"/>
              <w:rPr>
                <w:rFonts w:hint="default"/>
                <w:lang w:val="en-US" w:eastAsia="zh-CN"/>
              </w:rPr>
            </w:pPr>
            <w:r>
              <w:rPr>
                <w:rFonts w:hint="eastAsia" w:ascii="宋体" w:hAnsi="宋体" w:eastAsia="宋体" w:cs="新宋体"/>
                <w:bCs w:val="0"/>
                <w:spacing w:val="0"/>
                <w:kern w:val="2"/>
                <w:sz w:val="18"/>
                <w:szCs w:val="18"/>
                <w:lang w:val="en-US" w:eastAsia="zh-CN" w:bidi="ar-SA"/>
              </w:rPr>
              <w:t>5.3组织的角色、职责和权限；6.1.2危险源辨识和职业安全风险评价；6.2目标及其实现的策划；8.1运行策划和控制；8.2应急准备和响应；</w:t>
            </w:r>
          </w:p>
        </w:tc>
        <w:tc>
          <w:tcPr>
            <w:tcW w:w="1347" w:type="dxa"/>
            <w:tcBorders>
              <w:right w:val="single" w:color="auto" w:sz="8" w:space="0"/>
            </w:tcBorders>
            <w:noWrap w:val="0"/>
            <w:vAlign w:val="center"/>
          </w:tcPr>
          <w:p>
            <w:pPr>
              <w:jc w:val="center"/>
              <w:rPr>
                <w:rFonts w:hint="eastAsia" w:ascii="Times New Roman" w:hAnsi="Times New Roman" w:eastAsia="宋体" w:cs="Times New Roman"/>
                <w:b/>
                <w:kern w:val="2"/>
                <w:sz w:val="21"/>
                <w:szCs w:val="21"/>
                <w:lang w:val="en-US" w:eastAsia="zh-CN" w:bidi="ar-SA"/>
              </w:rPr>
            </w:pPr>
            <w:r>
              <w:rPr>
                <w:rFonts w:hint="eastAsia"/>
                <w:sz w:val="20"/>
                <w:lang w:val="en-US" w:eastAsia="zh-CN"/>
              </w:rPr>
              <w:t>张磊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3" w:hRule="atLeast"/>
          <w:jc w:val="center"/>
        </w:trPr>
        <w:tc>
          <w:tcPr>
            <w:tcW w:w="1086" w:type="dxa"/>
            <w:vMerge w:val="continue"/>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2"/>
                <w:sz w:val="21"/>
                <w:szCs w:val="21"/>
                <w:lang w:val="en-US" w:eastAsia="zh-CN" w:bidi="ar-SA"/>
              </w:rPr>
            </w:pPr>
          </w:p>
        </w:tc>
        <w:tc>
          <w:tcPr>
            <w:tcW w:w="910"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宋体" w:hAnsi="宋体"/>
                <w:sz w:val="21"/>
                <w:szCs w:val="21"/>
                <w:lang w:val="en-US" w:eastAsia="zh-CN"/>
              </w:rPr>
            </w:pPr>
            <w:r>
              <w:rPr>
                <w:rFonts w:hint="eastAsia" w:ascii="宋体" w:hAnsi="宋体"/>
                <w:sz w:val="21"/>
                <w:szCs w:val="21"/>
                <w:lang w:val="en-US" w:eastAsia="zh-CN"/>
              </w:rPr>
              <w:t>12：30-16：00</w:t>
            </w:r>
          </w:p>
        </w:tc>
        <w:tc>
          <w:tcPr>
            <w:tcW w:w="7518" w:type="dxa"/>
            <w:noWrap w:val="0"/>
            <w:vAlign w:val="center"/>
          </w:tcPr>
          <w:p>
            <w:pPr>
              <w:snapToGrid w:val="0"/>
              <w:spacing w:line="240" w:lineRule="exact"/>
              <w:rPr>
                <w:rFonts w:hint="default" w:ascii="Times New Roman" w:hAnsi="Times New Roman" w:eastAsia="宋体" w:cs="Times New Roman"/>
                <w:sz w:val="20"/>
                <w:lang w:val="en-US" w:eastAsia="zh-CN"/>
              </w:rPr>
            </w:pPr>
            <w:r>
              <w:rPr>
                <w:rFonts w:hint="eastAsia"/>
                <w:sz w:val="21"/>
                <w:szCs w:val="21"/>
                <w:lang w:val="en-US" w:eastAsia="zh-CN"/>
              </w:rPr>
              <w:t>质检</w:t>
            </w:r>
            <w:r>
              <w:rPr>
                <w:rFonts w:hint="eastAsia"/>
                <w:sz w:val="21"/>
                <w:szCs w:val="21"/>
              </w:rPr>
              <w:t>部：</w:t>
            </w:r>
            <w:r>
              <w:rPr>
                <w:rFonts w:hint="eastAsia" w:ascii="Times New Roman" w:hAnsi="Times New Roman" w:cs="Times New Roman"/>
                <w:sz w:val="20"/>
                <w:lang w:val="de-DE"/>
              </w:rPr>
              <w:t xml:space="preserve">EMS-2015 </w:t>
            </w:r>
          </w:p>
          <w:p>
            <w:pPr>
              <w:snapToGrid w:val="0"/>
              <w:spacing w:line="240" w:lineRule="exact"/>
              <w:rPr>
                <w:rFonts w:hint="default" w:ascii="宋体" w:hAnsi="宋体" w:cs="新宋体"/>
                <w:sz w:val="18"/>
                <w:szCs w:val="18"/>
                <w:lang w:val="en-US" w:eastAsia="zh-CN"/>
              </w:rPr>
            </w:pPr>
            <w:r>
              <w:rPr>
                <w:rFonts w:hint="eastAsia" w:ascii="宋体" w:hAnsi="宋体" w:cs="新宋体"/>
                <w:sz w:val="18"/>
                <w:szCs w:val="18"/>
              </w:rPr>
              <w:t>5.3组织的角色、职责和权限、6.1.2环境因素；6.2目标及其达成的策划；8.1运行策划和控制；8.2应急准备和响应</w:t>
            </w:r>
            <w:r>
              <w:rPr>
                <w:rFonts w:hint="eastAsia" w:ascii="宋体" w:hAnsi="宋体" w:cs="新宋体"/>
                <w:sz w:val="18"/>
                <w:szCs w:val="18"/>
                <w:lang w:eastAsia="zh-CN"/>
              </w:rPr>
              <w:t>；9.1</w:t>
            </w:r>
            <w:r>
              <w:rPr>
                <w:rFonts w:hint="eastAsia" w:ascii="宋体" w:hAnsi="宋体" w:cs="新宋体"/>
                <w:sz w:val="18"/>
                <w:szCs w:val="18"/>
                <w:lang w:val="en-US" w:eastAsia="zh-CN"/>
              </w:rPr>
              <w:t>.1</w:t>
            </w:r>
            <w:r>
              <w:rPr>
                <w:rFonts w:hint="eastAsia" w:ascii="宋体" w:hAnsi="宋体" w:cs="新宋体"/>
                <w:sz w:val="18"/>
                <w:szCs w:val="18"/>
                <w:lang w:eastAsia="zh-CN"/>
              </w:rPr>
              <w:t xml:space="preserve"> 监视、测量、分析和评价绩效</w:t>
            </w:r>
            <w:r>
              <w:rPr>
                <w:rFonts w:hint="eastAsia" w:ascii="宋体" w:hAnsi="宋体" w:cs="新宋体"/>
                <w:sz w:val="18"/>
                <w:szCs w:val="18"/>
                <w:lang w:val="en-US" w:eastAsia="zh-CN"/>
              </w:rPr>
              <w:t xml:space="preserve"> 总则</w:t>
            </w:r>
          </w:p>
          <w:p>
            <w:pPr>
              <w:snapToGrid w:val="0"/>
              <w:spacing w:line="240" w:lineRule="exact"/>
              <w:rPr>
                <w:rFonts w:ascii="宋体" w:hAnsi="宋体" w:cs="新宋体"/>
                <w:sz w:val="18"/>
                <w:szCs w:val="18"/>
              </w:rPr>
            </w:pPr>
            <w:r>
              <w:rPr>
                <w:rFonts w:hint="eastAsia"/>
                <w:sz w:val="20"/>
                <w:lang w:val="de-DE"/>
              </w:rPr>
              <w:t>ISO 45001：2018</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imes New Roman" w:hAnsi="Times New Roman" w:eastAsia="宋体" w:cs="Times New Roman"/>
                <w:kern w:val="2"/>
                <w:sz w:val="21"/>
                <w:szCs w:val="21"/>
                <w:lang w:val="en-US" w:eastAsia="zh-CN" w:bidi="ar-SA"/>
              </w:rPr>
            </w:pPr>
            <w:r>
              <w:rPr>
                <w:rFonts w:hint="eastAsia" w:ascii="宋体" w:hAnsi="宋体" w:cs="新宋体"/>
                <w:sz w:val="18"/>
                <w:szCs w:val="18"/>
              </w:rPr>
              <w:t>5.3组织的角色、职责和权限；6.1.2危险源辨识和职业安全风险评价；6.2目标及其实现的策划；8.1运行策划和控制；8.2应急准备和响应</w:t>
            </w:r>
            <w:r>
              <w:rPr>
                <w:rFonts w:hint="eastAsia" w:ascii="宋体" w:hAnsi="宋体" w:cs="新宋体"/>
                <w:sz w:val="18"/>
                <w:szCs w:val="18"/>
                <w:lang w:eastAsia="zh-CN"/>
              </w:rPr>
              <w:t>；</w:t>
            </w:r>
            <w:bookmarkStart w:id="32" w:name="_GoBack"/>
            <w:bookmarkEnd w:id="32"/>
          </w:p>
        </w:tc>
        <w:tc>
          <w:tcPr>
            <w:tcW w:w="1347" w:type="dxa"/>
            <w:tcBorders>
              <w:right w:val="single" w:color="auto" w:sz="8" w:space="0"/>
            </w:tcBorders>
            <w:noWrap w:val="0"/>
            <w:vAlign w:val="center"/>
          </w:tcPr>
          <w:p>
            <w:pPr>
              <w:jc w:val="center"/>
              <w:rPr>
                <w:rFonts w:hint="eastAsia" w:ascii="Times New Roman" w:hAnsi="Times New Roman" w:eastAsia="宋体" w:cs="Times New Roman"/>
                <w:b w:val="0"/>
                <w:bCs w:val="0"/>
                <w:spacing w:val="10"/>
                <w:kern w:val="2"/>
                <w:sz w:val="21"/>
                <w:szCs w:val="21"/>
                <w:lang w:val="en-US" w:eastAsia="zh-CN" w:bidi="ar-SA"/>
              </w:rPr>
            </w:pPr>
            <w:r>
              <w:rPr>
                <w:rFonts w:hint="eastAsia"/>
                <w:sz w:val="20"/>
                <w:lang w:val="en-US" w:eastAsia="zh-CN"/>
              </w:rPr>
              <w:t>张磊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086" w:type="dxa"/>
            <w:vMerge w:val="continue"/>
            <w:tcBorders>
              <w:left w:val="single" w:color="auto" w:sz="8" w:space="0"/>
            </w:tcBorders>
            <w:noWrap w:val="0"/>
            <w:vAlign w:val="top"/>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910"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rPr>
              <w:t>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7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b/>
                <w:bCs/>
                <w:sz w:val="21"/>
                <w:szCs w:val="21"/>
              </w:rPr>
              <w:t>末次会议（管理层）</w:t>
            </w:r>
          </w:p>
        </w:tc>
        <w:tc>
          <w:tcPr>
            <w:tcW w:w="1347" w:type="dxa"/>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kern w:val="2"/>
                <w:sz w:val="21"/>
                <w:szCs w:val="21"/>
                <w:lang w:val="en-US" w:eastAsia="zh-CN" w:bidi="ar-SA"/>
              </w:rPr>
            </w:pPr>
            <w:r>
              <w:rPr>
                <w:rFonts w:hint="eastAsia"/>
                <w:sz w:val="20"/>
                <w:lang w:val="en-US" w:eastAsia="zh-CN"/>
              </w:rPr>
              <w:t>张磊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086" w:type="dxa"/>
            <w:noWrap w:val="0"/>
            <w:vAlign w:val="center"/>
          </w:tcPr>
          <w:p>
            <w:pPr>
              <w:keepNext w:val="0"/>
              <w:keepLines w:val="0"/>
              <w:pageBreakBefore w:val="0"/>
              <w:widowControl w:val="0"/>
              <w:kinsoku/>
              <w:wordWrap/>
              <w:overflowPunct/>
              <w:topLinePunct w:val="0"/>
              <w:autoSpaceDE/>
              <w:autoSpaceDN/>
              <w:bidi w:val="0"/>
              <w:snapToGrid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注</w:t>
            </w:r>
          </w:p>
        </w:tc>
        <w:tc>
          <w:tcPr>
            <w:tcW w:w="910"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r>
              <w:rPr>
                <w:rFonts w:hint="eastAsia" w:ascii="Times New Roman" w:hAnsi="Times New Roman" w:cs="Times New Roman"/>
                <w:b w:val="0"/>
                <w:bCs/>
                <w:sz w:val="21"/>
                <w:szCs w:val="21"/>
                <w:lang w:val="en-US" w:eastAsia="zh-CN"/>
              </w:rPr>
              <w:t>1</w:t>
            </w:r>
            <w:r>
              <w:rPr>
                <w:rFonts w:hint="eastAsia"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eastAsia"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7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午休时间</w:t>
            </w:r>
          </w:p>
        </w:tc>
        <w:tc>
          <w:tcPr>
            <w:tcW w:w="1347" w:type="dxa"/>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b w:val="0"/>
                <w:bCs w:val="0"/>
                <w:sz w:val="21"/>
                <w:szCs w:val="21"/>
                <w:lang w:val="en-US"/>
              </w:rPr>
            </w:pPr>
            <w:r>
              <w:rPr>
                <w:rFonts w:hint="eastAsia"/>
                <w:sz w:val="20"/>
                <w:lang w:val="en-US" w:eastAsia="zh-CN"/>
              </w:rPr>
              <w:t>张磊</w:t>
            </w:r>
          </w:p>
        </w:tc>
      </w:tr>
    </w:tbl>
    <w:p>
      <w:pPr>
        <w:pStyle w:val="2"/>
      </w:pPr>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985B29"/>
    <w:rsid w:val="024A3646"/>
    <w:rsid w:val="0928187F"/>
    <w:rsid w:val="14597408"/>
    <w:rsid w:val="20646115"/>
    <w:rsid w:val="23174721"/>
    <w:rsid w:val="390B1CDC"/>
    <w:rsid w:val="499A74CF"/>
    <w:rsid w:val="53421A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797</Words>
  <Characters>4549</Characters>
  <Lines>37</Lines>
  <Paragraphs>10</Paragraphs>
  <TotalTime>3</TotalTime>
  <ScaleCrop>false</ScaleCrop>
  <LinksUpToDate>false</LinksUpToDate>
  <CharactersWithSpaces>5336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春华秋实</cp:lastModifiedBy>
  <dcterms:modified xsi:type="dcterms:W3CDTF">2022-03-13T02:50:04Z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2052-11.1.0.11365</vt:lpwstr>
  </property>
</Properties>
</file>