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成都坤恒顺维科技股份有限公司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1043-2021-E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宋明珠</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sz w:val="22"/>
                <w:szCs w:val="22"/>
                <w:highlight w:val="yellow"/>
              </w:rPr>
            </w:pPr>
            <w:r>
              <w:rPr>
                <w:sz w:val="20"/>
                <w:lang w:val="de-D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val="en-US" w:eastAsia="zh-CN"/>
              </w:rPr>
            </w:pPr>
            <w:r>
              <w:rPr>
                <w:rFonts w:hint="eastAsia"/>
                <w:b/>
                <w:sz w:val="22"/>
                <w:szCs w:val="22"/>
                <w:highlight w:val="yellow"/>
                <w:lang w:val="en-US" w:eastAsia="zh-CN"/>
              </w:rPr>
              <w:t>陈伟</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lang w:eastAsia="zh-CN"/>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2021.10.13</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5F6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2021-10-13T06:19:39Z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