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00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建德市龙华塑化有限公司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建德市大同镇傅家村草坪山（工业功能区）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浙江省杭州市建德市大同镇傅家村草坪山（工业功能区）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李晓芳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18858132685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翁鸣（总经理）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管代电话"/>
            <w:bookmarkEnd w:id="7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249541767@qq.com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9" w:name="合同编号"/>
            <w:r>
              <w:rPr>
                <w:sz w:val="20"/>
              </w:rPr>
              <w:t>1047-2021-</w:t>
            </w:r>
            <w:bookmarkEnd w:id="9"/>
            <w:r>
              <w:rPr>
                <w:rFonts w:hint="eastAsia"/>
                <w:sz w:val="20"/>
                <w:lang w:val="en-US" w:eastAsia="zh-CN"/>
              </w:rPr>
              <w:t>F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浙江省杭州市</w:t>
            </w:r>
            <w:r>
              <w:rPr>
                <w:sz w:val="21"/>
                <w:szCs w:val="21"/>
              </w:rPr>
              <w:t>建德市大同镇傅家村草坪山（工业功能区）建德市龙华塑化有限公司生产车间的食品添加剂[碳酸钙（重质碳酸钙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I类</w:t>
            </w:r>
            <w:r>
              <w:rPr>
                <w:sz w:val="21"/>
                <w:szCs w:val="21"/>
              </w:rPr>
              <w:t>）]的生产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K-1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2021年10月15日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8：00</w:t>
            </w:r>
            <w:r>
              <w:rPr>
                <w:rFonts w:hint="eastAsia"/>
                <w:b/>
                <w:sz w:val="20"/>
              </w:rPr>
              <w:t>至2021年10月15日 下午</w:t>
            </w:r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 xml:space="preserve">16:30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K-1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4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10315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52"/>
        <w:gridCol w:w="910"/>
        <w:gridCol w:w="4130"/>
        <w:gridCol w:w="223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1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2021-10-14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全天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8：00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3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8:30-10:30</w:t>
            </w:r>
          </w:p>
        </w:tc>
        <w:tc>
          <w:tcPr>
            <w:tcW w:w="910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4130" w:type="dxa"/>
            <w:shd w:val="clear" w:color="auto" w:fill="E6E0EC" w:themeFill="accent4" w:themeFillTint="32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</w:t>
            </w:r>
            <w:r>
              <w:rPr>
                <w:rFonts w:hint="eastAsia" w:ascii="宋体" w:hAnsi="宋体"/>
                <w:sz w:val="18"/>
                <w:szCs w:val="18"/>
              </w:rPr>
              <w:t>认证范围、过程方法、领导作用、岗位和职责、方针和目标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风险和机遇的策划、</w:t>
            </w:r>
            <w:r>
              <w:rPr>
                <w:rFonts w:hint="eastAsia"/>
                <w:sz w:val="18"/>
                <w:szCs w:val="18"/>
              </w:rPr>
              <w:t>资源、产品实现策划、</w:t>
            </w:r>
            <w:r>
              <w:rPr>
                <w:rFonts w:hint="eastAsia" w:ascii="宋体" w:hAnsi="宋体"/>
                <w:sz w:val="18"/>
                <w:szCs w:val="18"/>
              </w:rPr>
              <w:t>持续改进的机制、重大投诉处理、重大体系事故和变更管理，顾客反馈、产品召回、行业抽查情况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cs="Arial"/>
                <w:bCs/>
                <w:sz w:val="18"/>
                <w:szCs w:val="18"/>
              </w:rPr>
              <w:t>、管理评审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食品安全管理体系的更新、</w:t>
            </w:r>
            <w:r>
              <w:rPr>
                <w:rFonts w:hint="eastAsia"/>
                <w:sz w:val="18"/>
                <w:szCs w:val="18"/>
              </w:rPr>
              <w:t>对一阶段问题整改情况的确认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30" w:type="dxa"/>
            <w:shd w:val="clear" w:color="auto" w:fill="E6E0EC" w:themeFill="accent4" w:themeFillTint="32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Arial"/>
                <w:bCs/>
                <w:sz w:val="18"/>
                <w:szCs w:val="18"/>
              </w:rPr>
              <w:t>9.3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10.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2/10.3</w:t>
            </w: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8:30-10:30</w:t>
            </w:r>
          </w:p>
        </w:tc>
        <w:tc>
          <w:tcPr>
            <w:tcW w:w="910" w:type="dxa"/>
            <w:shd w:val="clear" w:color="auto" w:fill="EBF1DE" w:themeFill="accent3" w:themeFillTint="32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41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食品安全小组及职责、前提方案、实施危害分析的预备步骤、危害分析、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危害控制计划</w:t>
            </w:r>
            <w:r>
              <w:rPr>
                <w:rFonts w:hint="eastAsia" w:ascii="宋体" w:hAnsi="宋体"/>
                <w:sz w:val="18"/>
                <w:szCs w:val="18"/>
              </w:rPr>
              <w:t>的建立、预备信息的更新、规定前提方案和HACCP计划文件的更新、验证策划、标识和可追溯性系统/计划、控制措施组合的确认、食品安全管理体系的验证及结果分析、产品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应急预案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分析和评估</w:t>
            </w:r>
          </w:p>
        </w:tc>
        <w:tc>
          <w:tcPr>
            <w:tcW w:w="2230" w:type="dxa"/>
            <w:shd w:val="clear" w:color="auto" w:fill="EBF1DE" w:themeFill="accent3" w:themeFillTint="3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10:30-12:30</w:t>
            </w:r>
          </w:p>
        </w:tc>
        <w:tc>
          <w:tcPr>
            <w:tcW w:w="910" w:type="dxa"/>
            <w:shd w:val="clear" w:color="auto" w:fill="E6E0EC"/>
            <w:noWrap w:val="0"/>
            <w:vAlign w:val="top"/>
          </w:tcPr>
          <w:p>
            <w:pPr>
              <w:jc w:val="left"/>
              <w:rPr>
                <w:rFonts w:hint="default" w:ascii="宋体" w:hAnsi="宋体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4130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职责、文件和记录管理；内外部沟通、人员健康管理、持证上岗人员、人员招聘、员工培训及有效性评价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内部审核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不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符合</w:t>
            </w:r>
            <w:r>
              <w:rPr>
                <w:rFonts w:hint="eastAsia" w:cs="Arial"/>
                <w:bCs/>
                <w:sz w:val="18"/>
                <w:szCs w:val="18"/>
              </w:rPr>
              <w:t>和纠正措施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一阶段不符合情况的整改验证</w:t>
            </w:r>
          </w:p>
        </w:tc>
        <w:tc>
          <w:tcPr>
            <w:tcW w:w="2230" w:type="dxa"/>
            <w:shd w:val="clear" w:color="auto" w:fill="E6E0EC"/>
            <w:noWrap w:val="0"/>
            <w:vAlign w:val="top"/>
          </w:tcPr>
          <w:p>
            <w:pPr>
              <w:pStyle w:val="14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5.3/6.2/7.1.2/7.2/7.3/7.4/7.5/9.2/10.1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10：30-12:30</w:t>
            </w:r>
          </w:p>
        </w:tc>
        <w:tc>
          <w:tcPr>
            <w:tcW w:w="91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生技部及现场</w:t>
            </w:r>
          </w:p>
        </w:tc>
        <w:tc>
          <w:tcPr>
            <w:tcW w:w="41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职责、基础设施、特种设备管理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标识和可追溯性系统/计划;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一阶段不符合情况的整改验证</w:t>
            </w:r>
          </w:p>
        </w:tc>
        <w:tc>
          <w:tcPr>
            <w:tcW w:w="22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13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3:00-14:00</w:t>
            </w:r>
          </w:p>
        </w:tc>
        <w:tc>
          <w:tcPr>
            <w:tcW w:w="91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生技部</w:t>
            </w:r>
            <w:bookmarkStart w:id="32" w:name="_GoBack"/>
            <w:bookmarkEnd w:id="32"/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及现场</w:t>
            </w:r>
          </w:p>
        </w:tc>
        <w:tc>
          <w:tcPr>
            <w:tcW w:w="41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职责、基础设施、特种设备管理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标识和可追溯性系统/计划;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一阶段不符合情况的整改验证——继续审核</w:t>
            </w:r>
          </w:p>
        </w:tc>
        <w:tc>
          <w:tcPr>
            <w:tcW w:w="22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14:00-16:00</w:t>
            </w:r>
          </w:p>
        </w:tc>
        <w:tc>
          <w:tcPr>
            <w:tcW w:w="910" w:type="dxa"/>
            <w:shd w:val="clear" w:color="auto" w:fill="EBF1DE" w:themeFill="accent3" w:themeFillTint="32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41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目标、监视测量装置的控制、产品和过程的不合格项控制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cs="Arial"/>
                <w:sz w:val="18"/>
                <w:szCs w:val="18"/>
              </w:rPr>
              <w:t>潜在不安全产品的处置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/控制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CCP/OPRP的监控系统及实施；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一阶段不符合情况的整改验证</w:t>
            </w:r>
          </w:p>
        </w:tc>
        <w:tc>
          <w:tcPr>
            <w:tcW w:w="2230" w:type="dxa"/>
            <w:shd w:val="clear" w:color="auto" w:fill="EBF1DE" w:themeFill="accent3" w:themeFillTint="32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/>
                <w:sz w:val="18"/>
                <w:szCs w:val="18"/>
              </w:rPr>
              <w:t>6.2/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8.5.4.5/</w:t>
            </w:r>
            <w:r>
              <w:rPr>
                <w:rFonts w:hint="eastAsia"/>
                <w:sz w:val="18"/>
                <w:szCs w:val="18"/>
              </w:rPr>
              <w:t>8.7/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8.8/</w:t>
            </w:r>
            <w:r>
              <w:rPr>
                <w:rFonts w:hint="eastAsia"/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.1-8.9.4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910" w:type="dxa"/>
            <w:shd w:val="clear" w:color="auto" w:fill="E6E0EC" w:themeFill="accent4" w:themeFillTint="32"/>
            <w:noWrap w:val="0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  <w:t>供销部</w:t>
            </w:r>
          </w:p>
        </w:tc>
        <w:tc>
          <w:tcPr>
            <w:tcW w:w="4130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目标、职责、外部提供过程、产品或服务的控制、沟通、撤回/召回</w:t>
            </w:r>
          </w:p>
        </w:tc>
        <w:tc>
          <w:tcPr>
            <w:tcW w:w="2230" w:type="dxa"/>
            <w:shd w:val="clear" w:color="auto" w:fill="E6E0EC" w:themeFill="accent4" w:themeFillTint="32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F:5.3/6.2/7.1.6/7.4/8.9.5/8.2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E6E0EC" w:themeFill="accent4" w:themeFillTint="32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3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230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22069"/>
    <w:rsid w:val="40840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2021-10-15T02:16:29Z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