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河北汇友家具有限公司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安平县纬三路2号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安平县纬三路2号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1033-2021-QE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鹏飞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13171762962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602925806@qq.com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鹏飞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Q：高端定制家具的生产</w:t>
            </w:r>
          </w:p>
          <w:p>
            <w:r>
              <w:t>E：高端定制家具的生产所涉及场所的相关环境管理活动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Q：23.01.01;23.01.02;23.01.04</w:t>
            </w:r>
          </w:p>
          <w:p>
            <w:r>
              <w:t>E：23.01.01;23.01.02;23.01.04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2021年11月24日 上午至2021年11月24日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韩俊杰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(B)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2021-N0QMS-1026038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18633852265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邱玉峰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(C)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ISC-JSZJ-227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ISC-JSZJ-227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河北省防伪行业协会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Q:23.01.01,23.01.02,23.01.04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E:23.01.01,23.01.02,23.01.04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13722860108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>
            <w:bookmarkStart w:id="29" w:name="_GoBack"/>
            <w:bookmarkEnd w:id="29"/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03580" cy="227330"/>
                  <wp:effectExtent l="0" t="0" r="7620" b="1270"/>
                  <wp:docPr id="1" name="图片 1" descr="签名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2021.11.22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11.24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B为实习审核员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B为实习审核员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 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12：30-13：00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B为实习审核员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13：00-14：00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B为实习审核员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17：30-18：00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ind w:firstLine="240" w:firstLineChars="10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tabs>
          <w:tab w:val="left" w:pos="5863"/>
        </w:tabs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  <w:r>
        <w:rPr>
          <w:rFonts w:hint="eastAsia"/>
          <w:b/>
          <w:sz w:val="28"/>
          <w:szCs w:val="28"/>
          <w:lang w:eastAsia="zh-CN"/>
        </w:rPr>
        <w:tab/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94AB6"/>
    <w:rsid w:val="06C62F02"/>
    <w:rsid w:val="089F1C5C"/>
    <w:rsid w:val="0AC43C12"/>
    <w:rsid w:val="17824C23"/>
    <w:rsid w:val="23945864"/>
    <w:rsid w:val="367E60DF"/>
    <w:rsid w:val="39EE0BC6"/>
    <w:rsid w:val="434C7C09"/>
    <w:rsid w:val="43B81461"/>
    <w:rsid w:val="5F1C0A86"/>
    <w:rsid w:val="61B76732"/>
    <w:rsid w:val="7AC95903"/>
    <w:rsid w:val="7FAB7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27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2021-11-25T05:53:12Z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