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0987-2021-Q-2022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泊头市中金机械设备制造有限公司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泊头市中金机械设备制造有限公司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河北省沧州市泊头市交河镇泊富路北</w:t>
            </w:r>
            <w:bookmarkEnd w:id="6"/>
          </w:p>
        </w:tc>
        <w:tc>
          <w:tcPr>
            <w:tcW w:w="1242" w:type="dxa"/>
            <w:vMerge w:val="restart"/>
            <w:vAlign w:val="center"/>
          </w:tcPr>
          <w:p>
            <w:r>
              <w:rPr>
                <w:rFonts w:hint="eastAsia"/>
              </w:rPr>
              <w:t>邮编</w:t>
            </w:r>
          </w:p>
        </w:tc>
        <w:tc>
          <w:tcPr>
            <w:tcW w:w="1771" w:type="dxa"/>
          </w:tcPr>
          <w:p>
            <w:bookmarkStart w:id="7" w:name="注册邮编"/>
            <w:r>
              <w:t>062150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河北省泊头市交河镇工业集中区（泊富路北）</w:t>
            </w:r>
            <w:bookmarkEnd w:id="8"/>
          </w:p>
        </w:tc>
        <w:tc>
          <w:tcPr>
            <w:tcW w:w="1242" w:type="dxa"/>
            <w:vMerge w:val="continue"/>
            <w:vAlign w:val="center"/>
          </w:tcPr>
          <w:p/>
        </w:tc>
        <w:tc>
          <w:tcPr>
            <w:tcW w:w="1771" w:type="dxa"/>
          </w:tcPr>
          <w:p>
            <w:bookmarkStart w:id="9" w:name="办公邮编"/>
            <w:r>
              <w:t>062150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王金金</w:t>
            </w:r>
            <w:bookmarkEnd w:id="10"/>
          </w:p>
        </w:tc>
        <w:tc>
          <w:tcPr>
            <w:tcW w:w="1313" w:type="dxa"/>
            <w:vAlign w:val="center"/>
          </w:tcPr>
          <w:p>
            <w:r>
              <w:rPr>
                <w:rFonts w:hint="eastAsia"/>
              </w:rPr>
              <w:t>电话.</w:t>
            </w:r>
          </w:p>
        </w:tc>
        <w:tc>
          <w:tcPr>
            <w:tcW w:w="2180" w:type="dxa"/>
            <w:vAlign w:val="center"/>
          </w:tcPr>
          <w:p>
            <w:bookmarkStart w:id="11" w:name="联系人电话"/>
            <w:r>
              <w:t>0317-8176888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王奎峰</w:t>
            </w:r>
            <w:bookmarkEnd w:id="13"/>
          </w:p>
        </w:tc>
        <w:tc>
          <w:tcPr>
            <w:tcW w:w="1313" w:type="dxa"/>
            <w:vAlign w:val="center"/>
          </w:tcPr>
          <w:p>
            <w:r>
              <w:rPr>
                <w:rFonts w:hint="eastAsia"/>
              </w:rPr>
              <w:t>管理者代表</w:t>
            </w:r>
          </w:p>
        </w:tc>
        <w:tc>
          <w:tcPr>
            <w:tcW w:w="2180" w:type="dxa"/>
          </w:tcPr>
          <w:p>
            <w:bookmarkStart w:id="14" w:name="管理者代表"/>
            <w:r>
              <w:t>李桂荣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铸铁件的生产：图纸审核-模型制作-采购材料（生铁）-造型-熔炼和浇注-清砂-打磨-检验-出厂</w:t>
            </w:r>
          </w:p>
          <w:p>
            <w:pPr>
              <w:rPr>
                <w:rFonts w:hint="eastAsia"/>
              </w:rPr>
            </w:pPr>
            <w:r>
              <w:rPr>
                <w:rFonts w:hint="eastAsia"/>
              </w:rPr>
              <w:t>铸钢件的生产：图纸审核-模型制作-采购材料（废钢）-造型-熔炼和浇注-清砂-打磨-检验-出厂</w:t>
            </w:r>
          </w:p>
          <w:p>
            <w:pPr>
              <w:rPr>
                <w:rFonts w:hint="eastAsia"/>
              </w:rPr>
            </w:pPr>
            <w:r>
              <w:rPr>
                <w:rFonts w:hint="eastAsia"/>
              </w:rPr>
              <w:t>焊接件的生产：图纸审核-采购材料（钢板）-焊接-打磨-加工-检验-出厂</w:t>
            </w:r>
          </w:p>
          <w:p>
            <w:r>
              <w:rPr>
                <w:rFonts w:hint="eastAsia"/>
              </w:rPr>
              <w:t>销售流程：业务洽谈→签订合同→备货→验货→出货→客户管理→持续改进</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2022年08月28日 上午至2022年08月28日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rPr>
              <w:t>河北省泊头市交河镇工业集中区（泊富路北）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Q：铸铁件、铸钢件、焊接件、工量具生产及销售；机械加工</w:t>
            </w:r>
          </w:p>
          <w:p>
            <w:r>
              <w:t>O：铸铁件、铸钢件、焊接件、工量具生产及销售；机械加工所涉及场所的相关职业健康安全管理活动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pPr>
            <w:bookmarkStart w:id="30" w:name="专业代码"/>
            <w:r>
              <w:t>Q：17.05.01;17.05.02;17.10.02;17.11.03</w:t>
            </w:r>
          </w:p>
          <w:p>
            <w:pPr>
              <w:jc w:val="left"/>
            </w:pPr>
            <w:r>
              <w:t>O：17.05.01;17.05.02;17.10.02;17.11.03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本公司依据客户图纸或国家标准进行加工，不涉及8.3条款，目前无设计和开发，本条款不适用。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bookmarkStart w:id="34" w:name="_GoBack"/>
            <w:r>
              <w:rPr>
                <w:rFonts w:hint="eastAsia"/>
              </w:rPr>
              <w:sym w:font="Wingdings 2" w:char="00A3"/>
            </w:r>
            <w:bookmarkEnd w:id="34"/>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  1月  30日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2021年10月03日 下午至2021年10月05日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79"/>
        <w:gridCol w:w="640"/>
        <w:gridCol w:w="2510"/>
        <w:gridCol w:w="12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879" w:type="dxa"/>
            <w:shd w:val="clear" w:color="auto" w:fill="F3F3F3"/>
            <w:tcMar>
              <w:left w:w="57" w:type="dxa"/>
              <w:right w:w="57" w:type="dxa"/>
            </w:tcMar>
          </w:tcPr>
          <w:p>
            <w:r>
              <w:rPr>
                <w:rFonts w:hint="eastAsia"/>
              </w:rPr>
              <w:t>经营场所的地址</w:t>
            </w:r>
          </w:p>
          <w:p>
            <w:r>
              <w:rPr>
                <w:rFonts w:hint="eastAsia"/>
              </w:rPr>
              <w:t>（多现场和临时现场）</w:t>
            </w:r>
          </w:p>
        </w:tc>
        <w:tc>
          <w:tcPr>
            <w:tcW w:w="640" w:type="dxa"/>
            <w:shd w:val="clear" w:color="auto" w:fill="F3F3F3"/>
            <w:tcMar>
              <w:left w:w="57" w:type="dxa"/>
              <w:right w:w="57" w:type="dxa"/>
            </w:tcMar>
          </w:tcPr>
          <w:p>
            <w:r>
              <w:rPr>
                <w:rFonts w:hint="eastAsia"/>
              </w:rPr>
              <w:t>员工人数</w:t>
            </w:r>
          </w:p>
        </w:tc>
        <w:tc>
          <w:tcPr>
            <w:tcW w:w="2510" w:type="dxa"/>
            <w:shd w:val="clear" w:color="auto" w:fill="F3F3F3"/>
            <w:tcMar>
              <w:left w:w="57" w:type="dxa"/>
              <w:right w:w="57" w:type="dxa"/>
            </w:tcMar>
          </w:tcPr>
          <w:p>
            <w:r>
              <w:rPr>
                <w:rFonts w:hint="eastAsia"/>
              </w:rPr>
              <w:t>审核范围（产品和过程）</w:t>
            </w:r>
          </w:p>
          <w:p/>
          <w:p/>
        </w:tc>
        <w:tc>
          <w:tcPr>
            <w:tcW w:w="12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lang w:val="de-DE" w:eastAsia="ja-JP"/>
              </w:rPr>
            </w:pPr>
            <w:r>
              <w:rPr>
                <w:rFonts w:hint="eastAsia"/>
                <w:lang w:val="de-DE" w:eastAsia="ja-JP"/>
              </w:rPr>
              <w:t>泊头市中金机械设备制造有限公司</w:t>
            </w:r>
          </w:p>
          <w:p>
            <w:pPr>
              <w:rPr>
                <w:rFonts w:ascii="Times New Roman" w:hAnsi="Times New Roman" w:eastAsia="宋体" w:cs="Times New Roman"/>
                <w:kern w:val="2"/>
                <w:sz w:val="21"/>
                <w:szCs w:val="24"/>
                <w:lang w:val="de-DE" w:eastAsia="ja-JP" w:bidi="ar-SA"/>
              </w:rPr>
            </w:pPr>
            <w:r>
              <w:rPr>
                <w:rFonts w:hint="eastAsia"/>
                <w:lang w:val="de-DE" w:eastAsia="ja-JP"/>
              </w:rPr>
              <w:t>河北省沧州市泊头市交河镇泊富路北</w:t>
            </w:r>
          </w:p>
        </w:tc>
        <w:tc>
          <w:tcPr>
            <w:tcW w:w="1879" w:type="dxa"/>
            <w:vAlign w:val="top"/>
          </w:tcPr>
          <w:p>
            <w:pPr>
              <w:rPr>
                <w:rFonts w:ascii="Times New Roman" w:hAnsi="Times New Roman" w:eastAsia="宋体" w:cs="Times New Roman"/>
                <w:kern w:val="2"/>
                <w:sz w:val="21"/>
                <w:szCs w:val="24"/>
                <w:lang w:val="de-DE" w:eastAsia="ja-JP" w:bidi="ar-SA"/>
              </w:rPr>
            </w:pPr>
            <w:r>
              <w:rPr>
                <w:rFonts w:hint="eastAsia" w:ascii="Times New Roman" w:hAnsi="Times New Roman" w:eastAsia="宋体" w:cs="Times New Roman"/>
                <w:kern w:val="2"/>
                <w:sz w:val="21"/>
                <w:szCs w:val="24"/>
                <w:lang w:val="de-DE" w:eastAsia="ja-JP" w:bidi="ar-SA"/>
              </w:rPr>
              <w:t>河北省泊头市交河镇工业集中区（泊富路北）</w:t>
            </w:r>
          </w:p>
        </w:tc>
        <w:tc>
          <w:tcPr>
            <w:tcW w:w="64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26</w:t>
            </w:r>
          </w:p>
        </w:tc>
        <w:tc>
          <w:tcPr>
            <w:tcW w:w="2510" w:type="dxa"/>
            <w:vAlign w:val="center"/>
          </w:tcPr>
          <w:p>
            <w:r>
              <w:t>Q：铸铁件、铸钢件、焊接件、工量具生产及销售；机械加工</w:t>
            </w:r>
          </w:p>
          <w:p>
            <w:pPr>
              <w:rPr>
                <w:lang w:eastAsia="ja-JP"/>
              </w:rPr>
            </w:pPr>
            <w:r>
              <w:t>O：铸铁件、铸钢件、焊接件、工量具生产及销售；机械加工所涉及场所的相关职业健康安全管理活动</w:t>
            </w:r>
          </w:p>
        </w:tc>
        <w:tc>
          <w:tcPr>
            <w:tcW w:w="1281" w:type="dxa"/>
            <w:vAlign w:val="center"/>
          </w:tcPr>
          <w:p>
            <w:pPr>
              <w:rPr>
                <w:rFonts w:hint="eastAsia"/>
                <w:lang w:eastAsia="ja-JP"/>
              </w:rPr>
            </w:pPr>
            <w:r>
              <w:rPr>
                <w:rFonts w:hint="eastAsia"/>
                <w:lang w:eastAsia="ja-JP"/>
              </w:rPr>
              <w:t>GB/T19001-2016/ISO9001：2015</w:t>
            </w:r>
          </w:p>
          <w:p>
            <w:pPr>
              <w:rPr>
                <w:lang w:eastAsia="ja-JP"/>
              </w:rPr>
            </w:pPr>
            <w:r>
              <w:rPr>
                <w:rFonts w:hint="eastAsia"/>
                <w:lang w:eastAsia="ja-JP"/>
              </w:rPr>
              <w:t>GB/T 45001-2020/ISO45001：2018</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879" w:type="dxa"/>
            <w:vAlign w:val="center"/>
          </w:tcPr>
          <w:p>
            <w:pPr>
              <w:rPr>
                <w:lang w:eastAsia="ja-JP"/>
              </w:rPr>
            </w:pPr>
          </w:p>
        </w:tc>
        <w:tc>
          <w:tcPr>
            <w:tcW w:w="640" w:type="dxa"/>
            <w:vAlign w:val="center"/>
          </w:tcPr>
          <w:p>
            <w:pPr>
              <w:rPr>
                <w:lang w:eastAsia="ja-JP"/>
              </w:rPr>
            </w:pPr>
          </w:p>
        </w:tc>
        <w:tc>
          <w:tcPr>
            <w:tcW w:w="2510"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879" w:type="dxa"/>
            <w:vAlign w:val="center"/>
          </w:tcPr>
          <w:p>
            <w:pPr>
              <w:rPr>
                <w:lang w:eastAsia="ja-JP"/>
              </w:rPr>
            </w:pPr>
          </w:p>
        </w:tc>
        <w:tc>
          <w:tcPr>
            <w:tcW w:w="640" w:type="dxa"/>
            <w:vAlign w:val="center"/>
          </w:tcPr>
          <w:p>
            <w:pPr>
              <w:rPr>
                <w:lang w:eastAsia="ja-JP"/>
              </w:rPr>
            </w:pPr>
          </w:p>
        </w:tc>
        <w:tc>
          <w:tcPr>
            <w:tcW w:w="2510"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879" w:type="dxa"/>
            <w:vAlign w:val="center"/>
          </w:tcPr>
          <w:p>
            <w:pPr>
              <w:rPr>
                <w:lang w:eastAsia="ja-JP"/>
              </w:rPr>
            </w:pPr>
          </w:p>
        </w:tc>
        <w:tc>
          <w:tcPr>
            <w:tcW w:w="640" w:type="dxa"/>
            <w:vAlign w:val="center"/>
          </w:tcPr>
          <w:p>
            <w:pPr>
              <w:rPr>
                <w:lang w:eastAsia="ja-JP"/>
              </w:rPr>
            </w:pPr>
          </w:p>
        </w:tc>
        <w:tc>
          <w:tcPr>
            <w:tcW w:w="2510"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2022-N1QMS-3210533</w:t>
            </w:r>
          </w:p>
          <w:p>
            <w:r>
              <w:t>2021-N1OHSMS-1210533</w:t>
            </w:r>
          </w:p>
        </w:tc>
        <w:tc>
          <w:tcPr>
            <w:tcW w:w="2179" w:type="dxa"/>
            <w:vAlign w:val="center"/>
          </w:tcPr>
          <w:p>
            <w:r>
              <w:t>Q:17.05.01,17.05.02,17.10.02,17.11.03</w:t>
            </w:r>
          </w:p>
          <w:p>
            <w:r>
              <w:t>O:17.05.01,17.05.02,17.10.02,17.11.03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组员</w:t>
            </w:r>
          </w:p>
        </w:tc>
        <w:tc>
          <w:tcPr>
            <w:tcW w:w="711" w:type="dxa"/>
            <w:vAlign w:val="center"/>
          </w:tcPr>
          <w:p>
            <w:r>
              <w:t>女</w:t>
            </w:r>
          </w:p>
        </w:tc>
        <w:tc>
          <w:tcPr>
            <w:tcW w:w="3870" w:type="dxa"/>
            <w:vAlign w:val="center"/>
          </w:tcPr>
          <w:p>
            <w:r>
              <w:t>2020-N1QMS-1226516</w:t>
            </w:r>
          </w:p>
          <w:p>
            <w:r>
              <w:t>2022-N1OHSMS-1226516</w:t>
            </w:r>
          </w:p>
        </w:tc>
        <w:tc>
          <w:tcPr>
            <w:tcW w:w="2179" w:type="dxa"/>
            <w:vAlign w:val="center"/>
          </w:tcPr>
          <w:p>
            <w:r>
              <w:t>Q:17.10.02,17.11.03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highlight w:val="none"/>
              </w:rPr>
              <w:t>验证合格</w:t>
            </w:r>
            <w:r>
              <w:rPr>
                <w:rFonts w:hint="eastAsia"/>
              </w:rPr>
              <w:t>□仍有问题：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628015</wp:posOffset>
                  </wp:positionH>
                  <wp:positionV relativeFrom="paragraph">
                    <wp:posOffset>-469265</wp:posOffset>
                  </wp:positionV>
                  <wp:extent cx="530860" cy="1440180"/>
                  <wp:effectExtent l="0" t="0" r="0" b="2540"/>
                  <wp:wrapNone/>
                  <wp:docPr id="1" name="图片 2" descr="76d6bc393d872d7a9df7e77d67c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6d6bc393d872d7a9df7e77d67c2697"/>
                          <pic:cNvPicPr>
                            <a:picLocks noChangeAspect="1"/>
                          </pic:cNvPicPr>
                        </pic:nvPicPr>
                        <pic:blipFill>
                          <a:blip r:embed="rId6">
                            <a:clrChange>
                              <a:clrFrom>
                                <a:srgbClr val="594F4E"/>
                              </a:clrFrom>
                              <a:clrTo>
                                <a:srgbClr val="594F4E">
                                  <a:alpha val="0"/>
                                </a:srgbClr>
                              </a:clrTo>
                            </a:clrChange>
                          </a:blip>
                          <a:srcRect l="39769" t="26904" r="35092" b="31718"/>
                          <a:stretch>
                            <a:fillRect/>
                          </a:stretch>
                        </pic:blipFill>
                        <pic:spPr>
                          <a:xfrm rot="-5400000">
                            <a:off x="0" y="0"/>
                            <a:ext cx="530860" cy="144018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574675</wp:posOffset>
                  </wp:positionH>
                  <wp:positionV relativeFrom="paragraph">
                    <wp:posOffset>-619125</wp:posOffset>
                  </wp:positionV>
                  <wp:extent cx="421640" cy="1570990"/>
                  <wp:effectExtent l="0" t="0" r="0" b="10795"/>
                  <wp:wrapNone/>
                  <wp:docPr id="2" name="图片 3" descr="76d6bc393d872d7a9df7e77d67c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76d6bc393d872d7a9df7e77d67c2697"/>
                          <pic:cNvPicPr>
                            <a:picLocks noChangeAspect="1"/>
                          </pic:cNvPicPr>
                        </pic:nvPicPr>
                        <pic:blipFill>
                          <a:blip r:embed="rId6">
                            <a:clrChange>
                              <a:clrFrom>
                                <a:srgbClr val="594F4E"/>
                              </a:clrFrom>
                              <a:clrTo>
                                <a:srgbClr val="594F4E">
                                  <a:alpha val="0"/>
                                </a:srgbClr>
                              </a:clrTo>
                            </a:clrChange>
                          </a:blip>
                          <a:srcRect l="19086" t="41208" r="56262" b="3111"/>
                          <a:stretch>
                            <a:fillRect/>
                          </a:stretch>
                        </pic:blipFill>
                        <pic:spPr>
                          <a:xfrm rot="-5400000">
                            <a:off x="0" y="0"/>
                            <a:ext cx="421640" cy="1570990"/>
                          </a:xfrm>
                          <a:prstGeom prst="rect">
                            <a:avLst/>
                          </a:prstGeom>
                          <a:noFill/>
                          <a:ln>
                            <a:noFill/>
                          </a:ln>
                        </pic:spPr>
                      </pic:pic>
                    </a:graphicData>
                  </a:graphic>
                </wp:anchor>
              </w:drawing>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A3"/>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主管部门</w:t>
                  </w:r>
                </w:p>
              </w:tc>
              <w:tc>
                <w:tcPr>
                  <w:tcW w:w="6912" w:type="dxa"/>
                  <w:vAlign w:val="top"/>
                </w:tcPr>
                <w:p>
                  <w:pPr>
                    <w:shd w:val="clear" w:color="auto" w:fill="C7DAF1" w:themeFill="text2" w:themeFillTint="32"/>
                  </w:pPr>
                  <w:r>
                    <w:rPr>
                      <w:rFonts w:hint="eastAsia"/>
                      <w:color w:val="000000"/>
                    </w:rPr>
                    <w:t>☑</w:t>
                  </w: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供方</w:t>
                  </w:r>
                </w:p>
              </w:tc>
              <w:tc>
                <w:tcPr>
                  <w:tcW w:w="6912" w:type="dxa"/>
                  <w:vAlign w:val="top"/>
                </w:tcPr>
                <w:p>
                  <w:pPr>
                    <w:shd w:val="clear" w:color="auto" w:fill="C7DAF1" w:themeFill="text2" w:themeFillTint="32"/>
                  </w:pPr>
                  <w:r>
                    <w:rPr>
                      <w:rFonts w:hint="eastAsia"/>
                      <w:color w:val="000000"/>
                    </w:rPr>
                    <w:t>☑</w:t>
                  </w: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顾客</w:t>
                  </w:r>
                </w:p>
              </w:tc>
              <w:tc>
                <w:tcPr>
                  <w:tcW w:w="6912" w:type="dxa"/>
                  <w:vAlign w:val="top"/>
                </w:tcPr>
                <w:p>
                  <w:pPr>
                    <w:shd w:val="clear" w:color="auto" w:fill="C7DAF1" w:themeFill="text2" w:themeFillTint="32"/>
                  </w:pPr>
                  <w:r>
                    <w:rPr>
                      <w:rFonts w:hint="eastAsia"/>
                      <w:color w:val="000000"/>
                    </w:rPr>
                    <w:t>☑</w:t>
                  </w: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消费者</w:t>
                  </w:r>
                </w:p>
              </w:tc>
              <w:tc>
                <w:tcPr>
                  <w:tcW w:w="6912" w:type="dxa"/>
                  <w:vAlign w:val="top"/>
                </w:tcPr>
                <w:p>
                  <w:pPr>
                    <w:shd w:val="clear" w:color="auto" w:fill="C7DAF1" w:themeFill="text2" w:themeFillTint="32"/>
                  </w:pPr>
                  <w:r>
                    <w:rPr>
                      <w:rFonts w:hint="eastAsia"/>
                      <w:color w:val="000000"/>
                      <w:lang w:eastAsia="zh-CN"/>
                    </w:rPr>
                    <w:t>□</w:t>
                  </w: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员工</w:t>
                  </w:r>
                </w:p>
              </w:tc>
              <w:tc>
                <w:tcPr>
                  <w:tcW w:w="6912" w:type="dxa"/>
                  <w:vAlign w:val="top"/>
                </w:tcPr>
                <w:p>
                  <w:pPr>
                    <w:shd w:val="clear" w:color="auto" w:fill="C7DAF1" w:themeFill="text2" w:themeFillTint="32"/>
                  </w:pPr>
                  <w:r>
                    <w:rPr>
                      <w:rFonts w:hint="eastAsia"/>
                      <w:color w:val="000000"/>
                    </w:rPr>
                    <w:t>☑</w:t>
                  </w: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投资方</w:t>
                  </w:r>
                </w:p>
              </w:tc>
              <w:tc>
                <w:tcPr>
                  <w:tcW w:w="6912" w:type="dxa"/>
                  <w:vAlign w:val="top"/>
                </w:tcPr>
                <w:p>
                  <w:pPr>
                    <w:shd w:val="clear" w:color="auto" w:fill="C7DAF1" w:themeFill="text2" w:themeFillTint="32"/>
                  </w:pPr>
                  <w:r>
                    <w:rPr>
                      <w:rFonts w:hint="eastAsia"/>
                      <w:color w:val="000000"/>
                      <w:lang w:eastAsia="zh-CN"/>
                    </w:rPr>
                    <w:t>□</w:t>
                  </w: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vAlign w:val="top"/>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组织应明确相关管理体系的范围；铸铁件、铸钢件、焊接件、工量具生产及销售；机械加工</w:t>
            </w:r>
          </w:p>
          <w:p>
            <w:pPr>
              <w:shd w:val="clear" w:color="auto" w:fill="C7DAF1" w:themeFill="text2" w:themeFillTint="32"/>
              <w:rPr>
                <w:rFonts w:hint="eastAsia" w:eastAsia="宋体"/>
                <w:lang w:eastAsia="zh-CN"/>
              </w:rPr>
            </w:pPr>
            <w:r>
              <w:rPr>
                <w:rFonts w:hint="eastAsia"/>
              </w:rPr>
              <w:t>对QMS的适用性</w:t>
            </w:r>
            <w:r>
              <w:rPr>
                <w:rFonts w:hint="eastAsia"/>
                <w:lang w:eastAsia="zh-CN"/>
              </w:rPr>
              <w:t>：本公司依据客户图纸或国家标准进行加工，不涉及8.3条款，目前无设计和开发，本条款不适用。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守法诚信追求精品，预防污染保护环境；</w:t>
            </w:r>
          </w:p>
          <w:p>
            <w:pPr>
              <w:shd w:val="clear" w:color="auto" w:fill="C7DAF1" w:themeFill="text2" w:themeFillTint="32"/>
              <w:rPr>
                <w:u w:val="single"/>
              </w:rPr>
            </w:pPr>
            <w:r>
              <w:rPr>
                <w:rFonts w:hint="eastAsia"/>
                <w:u w:val="single"/>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pPr>
                  <w:r>
                    <w:rPr>
                      <w:rFonts w:hint="eastAsia"/>
                    </w:rPr>
                    <w:t>客户对产品质量标准提高，材料要求环保材料，以及对供应周期和售后服务的期望值提升，给公司材料采购、生产、质量和售后管理提出新的要求</w:t>
                  </w:r>
                  <w:r>
                    <w:rPr>
                      <w:rFonts w:hint="eastAsia"/>
                      <w:lang w:eastAsia="zh-CN"/>
                    </w:rPr>
                    <w:t>。</w:t>
                  </w:r>
                </w:p>
              </w:tc>
              <w:tc>
                <w:tcPr>
                  <w:tcW w:w="3965" w:type="dxa"/>
                  <w:vAlign w:val="top"/>
                </w:tcPr>
                <w:p>
                  <w:pPr>
                    <w:shd w:val="clear" w:color="auto" w:fill="C7DAF1"/>
                  </w:pPr>
                  <w:r>
                    <w:rPr>
                      <w:rFonts w:hint="eastAsia"/>
                    </w:rPr>
                    <w:t>加强与客户进行质量标准制定的沟通，统一双方的标准和检测方法；生产部门做好生产计划的安排，保证生产计划的执行；销售部加大客户交流沟通，及时处理客户的需求和意见</w:t>
                  </w:r>
                </w:p>
              </w:tc>
              <w:tc>
                <w:tcPr>
                  <w:tcW w:w="1717" w:type="dxa"/>
                  <w:vAlign w:val="top"/>
                </w:tcPr>
                <w:p>
                  <w:pPr>
                    <w:shd w:val="clear" w:color="auto" w:fill="C7DAF1"/>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pPr>
                  <w:r>
                    <w:rPr>
                      <w:rFonts w:hint="eastAsia"/>
                    </w:rPr>
                    <w:t>监管部门监管力度的加大，如公司执行不规范，可能存在被查处的风险</w:t>
                  </w:r>
                  <w:r>
                    <w:rPr>
                      <w:rFonts w:hint="eastAsia"/>
                      <w:lang w:eastAsia="zh-CN"/>
                    </w:rPr>
                    <w:t>。</w:t>
                  </w:r>
                </w:p>
              </w:tc>
              <w:tc>
                <w:tcPr>
                  <w:tcW w:w="3965" w:type="dxa"/>
                  <w:vAlign w:val="top"/>
                </w:tcPr>
                <w:p>
                  <w:pPr>
                    <w:shd w:val="clear" w:color="auto" w:fill="C7DAF1"/>
                  </w:pPr>
                  <w:r>
                    <w:rPr>
                      <w:rFonts w:hint="eastAsia"/>
                    </w:rPr>
                    <w:t>各级部门严格按照公司的规章制度开展相关工作</w:t>
                  </w:r>
                </w:p>
              </w:tc>
              <w:tc>
                <w:tcPr>
                  <w:tcW w:w="1717" w:type="dxa"/>
                  <w:vAlign w:val="top"/>
                </w:tcPr>
                <w:p>
                  <w:pPr>
                    <w:shd w:val="clear" w:color="auto" w:fill="C7DAF1"/>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pPr>
                  <w:r>
                    <w:rPr>
                      <w:rFonts w:hint="eastAsia" w:ascii="宋体" w:hAnsi="宋体" w:eastAsia="宋体" w:cs="宋体"/>
                      <w:color w:val="auto"/>
                      <w:sz w:val="21"/>
                      <w:szCs w:val="21"/>
                      <w:lang w:eastAsia="zh-CN" w:bidi="ar-SA"/>
                    </w:rPr>
                    <w:t>原材料市场不稳定，希望签订的年度合同和保底价格，带来的采购和资金风险。</w:t>
                  </w:r>
                </w:p>
              </w:tc>
              <w:tc>
                <w:tcPr>
                  <w:tcW w:w="3965" w:type="dxa"/>
                  <w:vAlign w:val="top"/>
                </w:tcPr>
                <w:p>
                  <w:pPr>
                    <w:shd w:val="clear" w:color="auto" w:fill="C7DAF1"/>
                  </w:pPr>
                  <w:r>
                    <w:rPr>
                      <w:rFonts w:hint="eastAsia" w:ascii="宋体" w:hAnsi="宋体" w:eastAsia="宋体" w:cs="宋体"/>
                      <w:color w:val="auto"/>
                      <w:sz w:val="21"/>
                      <w:szCs w:val="21"/>
                      <w:lang w:eastAsia="zh-CN" w:bidi="ar-SA"/>
                    </w:rPr>
                    <w:t>对公司影响较大的大宗原材料做好年度采购计划</w:t>
                  </w:r>
                  <w:r>
                    <w:rPr>
                      <w:rFonts w:hint="eastAsia" w:ascii="宋体" w:hAnsi="宋体" w:eastAsia="宋体" w:cs="宋体"/>
                      <w:color w:val="auto"/>
                      <w:szCs w:val="24"/>
                      <w:lang w:val="en-US" w:eastAsia="zh-CN"/>
                    </w:rPr>
                    <w:t>。</w:t>
                  </w:r>
                </w:p>
              </w:tc>
              <w:tc>
                <w:tcPr>
                  <w:tcW w:w="1717" w:type="dxa"/>
                  <w:vAlign w:val="top"/>
                </w:tcPr>
                <w:p>
                  <w:pPr>
                    <w:shd w:val="clear" w:color="auto" w:fill="C7DAF1"/>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pPr>
                  <w:r>
                    <w:rPr>
                      <w:rFonts w:hint="eastAsia"/>
                    </w:rPr>
                    <w:t>客户对产品质量标准提高，材料要求环保材料，以及对供应周期和售后服务的期望值提升，给公司材料采购、生产、质量和售后管理提出新的要求</w:t>
                  </w:r>
                  <w:r>
                    <w:rPr>
                      <w:rFonts w:hint="eastAsia"/>
                      <w:lang w:eastAsia="zh-CN"/>
                    </w:rPr>
                    <w:t>。</w:t>
                  </w:r>
                </w:p>
              </w:tc>
              <w:tc>
                <w:tcPr>
                  <w:tcW w:w="3965" w:type="dxa"/>
                  <w:vAlign w:val="top"/>
                </w:tcPr>
                <w:p>
                  <w:pPr>
                    <w:shd w:val="clear" w:color="auto" w:fill="C7DAF1"/>
                  </w:pPr>
                  <w:r>
                    <w:rPr>
                      <w:rFonts w:hint="eastAsia"/>
                    </w:rPr>
                    <w:t>加强与客户进行质量标准制定的沟通，统一双方的标准和检测方法；生产部门做好生产计划的安排，保证生产计划的执行；销售部加大客户交流沟通，及时处理客户的需求和意见</w:t>
                  </w:r>
                </w:p>
              </w:tc>
              <w:tc>
                <w:tcPr>
                  <w:tcW w:w="1717" w:type="dxa"/>
                  <w:vAlign w:val="top"/>
                </w:tcPr>
                <w:p>
                  <w:pPr>
                    <w:shd w:val="clear" w:color="auto" w:fill="C7DAF1"/>
                  </w:pPr>
                  <w:r>
                    <w:rPr>
                      <w:rFonts w:hint="eastAsia"/>
                      <w:lang w:val="en-US" w:eastAsia="zh-CN"/>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产品出厂合格率100%</w:t>
                  </w:r>
                </w:p>
              </w:tc>
              <w:tc>
                <w:tcPr>
                  <w:tcW w:w="3136" w:type="dxa"/>
                  <w:shd w:val="clear" w:color="auto" w:fill="auto"/>
                  <w:vAlign w:val="center"/>
                </w:tcPr>
                <w:p>
                  <w:pPr>
                    <w:shd w:val="clear" w:color="auto" w:fill="C7DAF1" w:themeFill="text2" w:themeFillTint="32"/>
                    <w:rPr>
                      <w:lang w:val="en-GB"/>
                    </w:rPr>
                  </w:pPr>
                  <w:r>
                    <w:rPr>
                      <w:rFonts w:hint="eastAsia"/>
                      <w:lang w:val="en-GB"/>
                    </w:rPr>
                    <w:t>出厂产品合格数/产品总数*100%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质检部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顾客满意率95%以上</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满意度调查分数/总分数*100%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96</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highlight w:val="none"/>
              </w:rPr>
            </w:pPr>
            <w:r>
              <w:rPr>
                <w:rFonts w:hint="eastAsia"/>
                <w:highlight w:val="none"/>
              </w:rPr>
              <w:t>建筑面积7500平方米，生产车间5个，库房1个，实验室1个；</w:t>
            </w:r>
          </w:p>
          <w:p>
            <w:pPr>
              <w:shd w:val="clear" w:color="auto" w:fill="C7DAF1" w:themeFill="text2" w:themeFillTint="32"/>
              <w:rPr>
                <w:u w:val="single"/>
              </w:rPr>
            </w:pPr>
            <w:r>
              <w:rPr>
                <w:rFonts w:hint="eastAsia"/>
              </w:rPr>
              <w:t>主要生产设备有：</w:t>
            </w:r>
            <w:r>
              <w:rPr>
                <w:rFonts w:hint="eastAsia"/>
                <w:u w:val="single"/>
              </w:rPr>
              <w:t>冲天炉、电炉、砂箱、砂处理设备、震动落砂台、角磨机、龙门导轨磨、万能铣等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里氏硬度计、测温仪、合像水平仪、钢卷尺等</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pPr>
            <w:r>
              <w:t>组织</w:t>
            </w:r>
            <w:r>
              <w:rPr>
                <w:rFonts w:hint="eastAsia"/>
              </w:rPr>
              <w:t>已</w:t>
            </w:r>
            <w:r>
              <w:t>确定所需的知识，以运行过程并获得合格产品和服务</w:t>
            </w:r>
          </w:p>
          <w:p>
            <w:pPr>
              <w:shd w:val="clear" w:color="auto" w:fill="C7DAF1"/>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组织已确定在其控制的工作人员所需具备的能力，并采取措施以获得所需的能力，并评价措施的有效性；</w:t>
            </w:r>
          </w:p>
          <w:p>
            <w:pPr>
              <w:shd w:val="clear" w:color="auto" w:fill="C7DAF1"/>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pPr>
            <w:r>
              <w:rPr>
                <w:rFonts w:hint="eastAsia"/>
              </w:rPr>
              <w:t>对国家规定持证上岗的人员资质进行了有效的管理。</w:t>
            </w:r>
          </w:p>
          <w:p>
            <w:pPr>
              <w:shd w:val="clear" w:color="auto" w:fill="C7DAF1"/>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组织已确定与质量管理体系相关的内部和外部沟通。</w:t>
            </w:r>
          </w:p>
          <w:p>
            <w:pPr>
              <w:shd w:val="clear" w:color="auto" w:fill="C7DAF1"/>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pPr>
            <w:r>
              <w:rPr>
                <w:rFonts w:hint="eastAsia"/>
              </w:rPr>
              <w:t>对质量相关的外来文件（法律法规、产品标准）进行了识别和贯彻。</w:t>
            </w:r>
          </w:p>
          <w:p>
            <w:pPr>
              <w:shd w:val="clear" w:color="auto" w:fill="C7DAF1"/>
            </w:pPr>
            <w:r>
              <w:rPr>
                <w:rFonts w:hint="eastAsia"/>
              </w:rPr>
              <w:sym w:font="Wingdings 2" w:char="0052"/>
            </w:r>
            <w:r>
              <w:rPr>
                <w:rFonts w:hint="eastAsia"/>
              </w:rPr>
              <w:t>法律法规获取充分，□法律法规获取有遗漏，缺少：</w:t>
            </w:r>
          </w:p>
          <w:p>
            <w:pPr>
              <w:shd w:val="clear" w:color="auto" w:fill="C7DAF1"/>
            </w:pPr>
          </w:p>
          <w:p>
            <w:pPr>
              <w:shd w:val="clear" w:color="auto" w:fill="C7DAF1"/>
            </w:pPr>
            <w:r>
              <w:rPr>
                <w:rFonts w:hint="eastAsia"/>
              </w:rPr>
              <w:t>对QMS和产品相关的运行记录进行了保留、储存、保护、检索查询、处置等管理。</w:t>
            </w:r>
          </w:p>
          <w:p>
            <w:pPr>
              <w:shd w:val="clear" w:color="auto" w:fill="C7DAF1"/>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pPr>
            <w:r>
              <w:rPr>
                <w:rFonts w:hint="eastAsia"/>
              </w:rPr>
              <w:t>组织为对产品和服务提供满足的要求，已对产品和服务提供的过程（见4.4）进行策划、实施和控制。策划文件包括：</w:t>
            </w:r>
          </w:p>
          <w:p>
            <w:pPr>
              <w:shd w:val="clear" w:color="auto" w:fill="C7DAF1"/>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组织建立并实施了与顾客沟通；如产品和服务的信息、顾客投诉、顾客财产、应急措施等。</w:t>
            </w:r>
          </w:p>
          <w:p>
            <w:pPr>
              <w:shd w:val="clear" w:color="auto" w:fill="C7DAF1"/>
            </w:pPr>
            <w:r>
              <w:rPr>
                <w:rFonts w:hint="eastAsia"/>
              </w:rPr>
              <w:t>组织对产品和服务要求进行了评审，确保有能力向顾客提供满足要求的产品和服务。</w:t>
            </w:r>
          </w:p>
          <w:p>
            <w:pPr>
              <w:shd w:val="clear" w:color="auto" w:fill="C7DAF1"/>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组织建立、实施和保持了适当的设计和开发过程，以确保后续的产品和服务的提供。（适用时）</w:t>
            </w:r>
          </w:p>
          <w:p>
            <w:pPr>
              <w:shd w:val="clear" w:color="auto" w:fill="C7DAF1"/>
            </w:pPr>
            <w:r>
              <w:rPr>
                <w:rFonts w:hint="eastAsia"/>
              </w:rPr>
              <w:t>审核期间内设计和开发新产品/项目名称：</w:t>
            </w:r>
            <w:r>
              <w:rPr>
                <w:rFonts w:hint="eastAsia"/>
                <w:u w:val="single"/>
              </w:rPr>
              <w:t>（</w:t>
            </w:r>
            <w:r>
              <w:rPr>
                <w:rFonts w:hint="eastAsia"/>
              </w:rPr>
              <w:t>举1例）</w:t>
            </w:r>
          </w:p>
          <w:p>
            <w:pPr>
              <w:shd w:val="clear" w:color="auto" w:fill="C7DAF1"/>
            </w:pPr>
            <w:r>
              <w:rPr>
                <w:rFonts w:hint="eastAsia"/>
              </w:rPr>
              <w:t>该项目的设计和开发的输入、输出、变更进行了控制。</w:t>
            </w:r>
          </w:p>
          <w:p>
            <w:pPr>
              <w:shd w:val="clear" w:color="auto" w:fill="C7DAF1"/>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jc w:val="left"/>
            </w:pPr>
            <w:r>
              <w:rPr>
                <w:rFonts w:hint="eastAsia"/>
              </w:rPr>
              <w:t>组织对外部提供的过程、产品和服务的供方按照对产品/服务质量的类型和程度实施控制。</w:t>
            </w:r>
          </w:p>
          <w:p>
            <w:pPr>
              <w:shd w:val="clear" w:color="auto" w:fill="C7DAF1"/>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rPr>
                    <w:t>铸铁件、铸钢件</w:t>
                  </w:r>
                  <w:r>
                    <w:rPr>
                      <w:rFonts w:hint="eastAsia"/>
                      <w:lang w:val="en-US" w:eastAsia="zh-CN"/>
                    </w:rPr>
                    <w:t>工量具的生产</w:t>
                  </w:r>
                </w:p>
              </w:tc>
              <w:tc>
                <w:tcPr>
                  <w:tcW w:w="3665" w:type="dxa"/>
                </w:tcPr>
                <w:p>
                  <w:pPr>
                    <w:shd w:val="clear" w:color="auto" w:fill="C7DAF1" w:themeFill="text2" w:themeFillTint="32"/>
                    <w:jc w:val="left"/>
                  </w:pPr>
                  <w:r>
                    <w:rPr>
                      <w:rFonts w:hint="eastAsia"/>
                    </w:rPr>
                    <w:t>熔炼和浇注</w:t>
                  </w:r>
                </w:p>
              </w:tc>
              <w:tc>
                <w:tcPr>
                  <w:tcW w:w="3265" w:type="dxa"/>
                </w:tcPr>
                <w:p>
                  <w:pPr>
                    <w:shd w:val="clear" w:color="auto" w:fill="C7DAF1" w:themeFill="text2" w:themeFillTint="32"/>
                    <w:jc w:val="left"/>
                  </w:pPr>
                  <w:r>
                    <w:rPr>
                      <w:rFonts w:hint="eastAsia"/>
                    </w:rPr>
                    <w:t>金属熔炼温度控制和炉前检验、浇注温度和速度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rPr>
                    <w:t>焊接件</w:t>
                  </w:r>
                  <w:r>
                    <w:rPr>
                      <w:rFonts w:hint="eastAsia"/>
                      <w:lang w:val="en-US" w:eastAsia="zh-CN"/>
                    </w:rPr>
                    <w:t>的生产</w:t>
                  </w:r>
                </w:p>
              </w:tc>
              <w:tc>
                <w:tcPr>
                  <w:tcW w:w="3665" w:type="dxa"/>
                </w:tcPr>
                <w:p>
                  <w:pPr>
                    <w:shd w:val="clear" w:color="auto" w:fill="C7DAF1" w:themeFill="text2" w:themeFillTint="32"/>
                    <w:jc w:val="left"/>
                  </w:pPr>
                  <w:r>
                    <w:rPr>
                      <w:rFonts w:hint="eastAsia"/>
                    </w:rPr>
                    <w:t>焊接</w:t>
                  </w:r>
                </w:p>
              </w:tc>
              <w:tc>
                <w:tcPr>
                  <w:tcW w:w="3265" w:type="dxa"/>
                </w:tcPr>
                <w:p>
                  <w:pPr>
                    <w:shd w:val="clear" w:color="auto" w:fill="C7DAF1" w:themeFill="text2" w:themeFillTint="32"/>
                    <w:jc w:val="left"/>
                  </w:pPr>
                  <w:r>
                    <w:rPr>
                      <w:rFonts w:hint="eastAsia"/>
                    </w:rPr>
                    <w:t>焊接电流、电压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需要确认的过程：焊接，</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pPr>
            <w:r>
              <w:rPr>
                <w:rFonts w:hint="eastAsia"/>
              </w:rPr>
              <w:t>组织在适当阶段实施策划的安排，以验证产品和服务的要求已得到满足。</w:t>
            </w:r>
          </w:p>
          <w:p>
            <w:pPr>
              <w:shd w:val="clear" w:color="auto" w:fill="C7DAF1"/>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组织已通过年度策划于2022年6月20日实施了环境管理体系内部审核，对环境管理体系的符合性和有效性进行了审核。内审发现的1项不符合在本次审核前已完成整改。在公司内完成的这些审核是可信的。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最高管理者已按策划的时间间隔，在2022年6月30日对组织的环境管理体系进行了评审，以确保其持续的适宜性、充分性和有效性；管理评审输入、输出均按要求提供。并对提出的改进措施进行了落实。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主管部门</w:t>
                  </w:r>
                </w:p>
              </w:tc>
              <w:tc>
                <w:tcPr>
                  <w:tcW w:w="6912" w:type="dxa"/>
                  <w:vAlign w:val="top"/>
                </w:tcPr>
                <w:p>
                  <w:r>
                    <w:rPr>
                      <w:rFonts w:hint="eastAsia"/>
                    </w:rPr>
                    <w:sym w:font="Wingdings 2" w:char="0052"/>
                  </w:r>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供方/承包方</w:t>
                  </w:r>
                </w:p>
              </w:tc>
              <w:tc>
                <w:tcPr>
                  <w:tcW w:w="6912" w:type="dxa"/>
                  <w:vAlign w:val="top"/>
                </w:tcPr>
                <w:p>
                  <w:r>
                    <w:rPr>
                      <w:rFonts w:hint="eastAsia"/>
                    </w:rPr>
                    <w:sym w:font="Wingdings 2" w:char="0052"/>
                  </w:r>
                  <w:r>
                    <w:rPr>
                      <w:rFonts w:hint="eastAsia"/>
                    </w:rPr>
                    <w:t>组织的持续经营、</w:t>
                  </w:r>
                  <w:r>
                    <w:rPr>
                      <w:rFonts w:hint="eastAsia"/>
                    </w:rPr>
                    <w:sym w:font="Wingdings 2" w:char="0052"/>
                  </w:r>
                  <w:r>
                    <w:rPr>
                      <w:rFonts w:hint="eastAsia"/>
                    </w:rPr>
                    <w:t>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顾客</w:t>
                  </w:r>
                </w:p>
              </w:tc>
              <w:tc>
                <w:tcPr>
                  <w:tcW w:w="6912" w:type="dxa"/>
                  <w:vAlign w:val="top"/>
                </w:tcPr>
                <w:p>
                  <w:r>
                    <w:rPr>
                      <w:rFonts w:hint="eastAsia"/>
                    </w:rPr>
                    <w:sym w:font="Wingdings 2" w:char="0052"/>
                  </w:r>
                  <w:r>
                    <w:rPr>
                      <w:rFonts w:hint="eastAsia"/>
                    </w:rPr>
                    <w:t>按时按质按量交付产品或服务；</w:t>
                  </w:r>
                  <w:r>
                    <w:rPr>
                      <w:rFonts w:hint="eastAsia"/>
                    </w:rPr>
                    <w:sym w:font="Wingdings 2" w:char="0052"/>
                  </w:r>
                  <w:r>
                    <w:rPr>
                      <w:rFonts w:hint="eastAsia"/>
                    </w:rPr>
                    <w:t>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非政府部门</w:t>
                  </w:r>
                </w:p>
              </w:tc>
              <w:tc>
                <w:tcPr>
                  <w:tcW w:w="6912" w:type="dxa"/>
                  <w:vAlign w:val="top"/>
                </w:tcPr>
                <w:p>
                  <w:r>
                    <w:rPr>
                      <w:rFonts w:hint="eastAsia"/>
                    </w:rPr>
                    <w:sym w:font="Wingdings 2" w:char="0052"/>
                  </w:r>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员工</w:t>
                  </w:r>
                </w:p>
              </w:tc>
              <w:tc>
                <w:tcPr>
                  <w:tcW w:w="6912" w:type="dxa"/>
                  <w:vAlign w:val="top"/>
                </w:tcPr>
                <w:p>
                  <w:r>
                    <w:rPr>
                      <w:rFonts w:hint="eastAsia"/>
                    </w:rPr>
                    <w:sym w:font="Wingdings 2" w:char="0052"/>
                  </w:r>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投资方</w:t>
                  </w:r>
                </w:p>
              </w:tc>
              <w:tc>
                <w:tcPr>
                  <w:tcW w:w="6912" w:type="dxa"/>
                  <w:vAlign w:val="top"/>
                </w:tcPr>
                <w:p>
                  <w:r>
                    <w:rPr>
                      <w:rFonts w:hint="eastAsia"/>
                    </w:rPr>
                    <w:sym w:font="Wingdings 2" w:char="0052"/>
                  </w:r>
                  <w:r>
                    <w:rPr>
                      <w:rFonts w:hint="eastAsia"/>
                    </w:rPr>
                    <w:t>组织的持续经营、盈利；</w:t>
                  </w:r>
                  <w:r>
                    <w:rPr>
                      <w:rFonts w:hint="eastAsia"/>
                    </w:rPr>
                    <w:sym w:font="Wingdings 2" w:char="0052"/>
                  </w:r>
                  <w:r>
                    <w:rPr>
                      <w:rFonts w:hint="eastAsia"/>
                    </w:rPr>
                    <w:t>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铸铁件、铸钢件、焊接件、工量具生产及销售；机械加工所涉及场所的相关职业健康安全管理活动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守法诚信追求精品，预防污染保护环境；</w:t>
            </w:r>
          </w:p>
          <w:p>
            <w:pPr>
              <w:rPr>
                <w:u w:val="single"/>
              </w:rPr>
            </w:pPr>
            <w:r>
              <w:rPr>
                <w:rFonts w:hint="eastAsia"/>
                <w:u w:val="single"/>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highlight w:val="none"/>
              </w:rPr>
              <w:t>员工代表是——</w:t>
            </w:r>
            <w:r>
              <w:rPr>
                <w:rFonts w:hint="eastAsia"/>
                <w:highlight w:val="none"/>
                <w:lang w:val="en-US" w:eastAsia="zh-CN"/>
              </w:rPr>
              <w:t>王银银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4"/>
              <w:gridCol w:w="359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tcPr>
                <w:p>
                  <w:r>
                    <w:rPr>
                      <w:rFonts w:hint="eastAsia"/>
                    </w:rPr>
                    <w:t>主要的风险或机遇描述</w:t>
                  </w:r>
                </w:p>
              </w:tc>
              <w:tc>
                <w:tcPr>
                  <w:tcW w:w="3590" w:type="dxa"/>
                </w:tcPr>
                <w:p>
                  <w:r>
                    <w:rPr>
                      <w:rFonts w:hint="eastAsia"/>
                    </w:rPr>
                    <w:t>应对措施</w:t>
                  </w:r>
                </w:p>
              </w:tc>
              <w:tc>
                <w:tcPr>
                  <w:tcW w:w="1478"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vAlign w:val="center"/>
                </w:tcPr>
                <w:p>
                  <w:pPr>
                    <w:keepNext w:val="0"/>
                    <w:keepLines w:val="0"/>
                    <w:suppressLineNumbers w:val="0"/>
                    <w:spacing w:before="0" w:beforeAutospacing="0" w:after="0" w:afterAutospacing="0" w:line="420" w:lineRule="exact"/>
                    <w:ind w:left="0" w:leftChars="0" w:right="0" w:rightChars="0"/>
                    <w:rPr>
                      <w:rFonts w:hint="eastAsia"/>
                    </w:rPr>
                  </w:pPr>
                  <w:r>
                    <w:rPr>
                      <w:rFonts w:hint="eastAsia"/>
                    </w:rPr>
                    <w:t>社会：本公司所在地社会形势稳定，失业率较较低，人员安全感高，教育水平和人员素质较高，公共节假日和工作时间设置比较合理，相对风险较小</w:t>
                  </w:r>
                </w:p>
              </w:tc>
              <w:tc>
                <w:tcPr>
                  <w:tcW w:w="3590" w:type="dxa"/>
                  <w:vAlign w:val="center"/>
                </w:tcPr>
                <w:p>
                  <w:pPr>
                    <w:keepNext w:val="0"/>
                    <w:keepLines w:val="0"/>
                    <w:suppressLineNumbers w:val="0"/>
                    <w:spacing w:before="0" w:beforeAutospacing="0" w:after="0" w:afterAutospacing="0" w:line="420" w:lineRule="exact"/>
                    <w:ind w:left="0" w:leftChars="0" w:right="0" w:rightChars="0"/>
                    <w:rPr>
                      <w:rFonts w:hint="eastAsia" w:eastAsia="宋体"/>
                      <w:lang w:eastAsia="zh-CN"/>
                    </w:rPr>
                  </w:pPr>
                  <w:r>
                    <w:rPr>
                      <w:rFonts w:hint="eastAsia"/>
                    </w:rPr>
                    <w:t>及时关注社会信息及动态</w:t>
                  </w:r>
                  <w:r>
                    <w:rPr>
                      <w:rFonts w:hint="eastAsia"/>
                      <w:lang w:eastAsia="zh-CN"/>
                    </w:rPr>
                    <w:t>；做好公司人员储备</w:t>
                  </w:r>
                </w:p>
              </w:tc>
              <w:tc>
                <w:tcPr>
                  <w:tcW w:w="1478" w:type="dxa"/>
                  <w:vAlign w:val="center"/>
                </w:tcPr>
                <w:p>
                  <w:pPr>
                    <w:keepNext w:val="0"/>
                    <w:keepLines w:val="0"/>
                    <w:suppressLineNumbers w:val="0"/>
                    <w:spacing w:before="0" w:beforeAutospacing="0" w:after="0" w:afterAutospacing="0" w:line="420" w:lineRule="exact"/>
                    <w:ind w:left="0" w:leftChars="0" w:right="0" w:rightChars="0"/>
                    <w:rPr>
                      <w:rFonts w:hint="default" w:eastAsia="宋体"/>
                      <w:lang w:val="en-US" w:eastAsia="zh-CN"/>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vAlign w:val="center"/>
                </w:tcPr>
                <w:p>
                  <w:pPr>
                    <w:keepNext w:val="0"/>
                    <w:keepLines w:val="0"/>
                    <w:suppressLineNumbers w:val="0"/>
                    <w:spacing w:before="0" w:beforeAutospacing="0" w:after="0" w:afterAutospacing="0" w:line="420" w:lineRule="exact"/>
                    <w:ind w:left="0" w:leftChars="0" w:right="0" w:rightChars="0"/>
                    <w:rPr>
                      <w:rFonts w:hint="eastAsia"/>
                    </w:rPr>
                  </w:pPr>
                  <w:r>
                    <w:rPr>
                      <w:rFonts w:hint="eastAsia"/>
                    </w:rPr>
                    <w:t>经济：整体经济环境不佳，银行利率快，银行信贷紧缩</w:t>
                  </w:r>
                </w:p>
              </w:tc>
              <w:tc>
                <w:tcPr>
                  <w:tcW w:w="3590" w:type="dxa"/>
                  <w:vAlign w:val="center"/>
                </w:tcPr>
                <w:p>
                  <w:pPr>
                    <w:keepNext w:val="0"/>
                    <w:keepLines w:val="0"/>
                    <w:suppressLineNumbers w:val="0"/>
                    <w:spacing w:before="0" w:beforeAutospacing="0" w:after="0" w:afterAutospacing="0" w:line="420" w:lineRule="exact"/>
                    <w:ind w:left="0" w:leftChars="0" w:right="0" w:rightChars="0"/>
                    <w:rPr>
                      <w:rFonts w:hint="eastAsia"/>
                    </w:rPr>
                  </w:pPr>
                  <w:r>
                    <w:rPr>
                      <w:rFonts w:hint="eastAsia"/>
                    </w:rPr>
                    <w:t>提前资金准备</w:t>
                  </w:r>
                </w:p>
              </w:tc>
              <w:tc>
                <w:tcPr>
                  <w:tcW w:w="1478" w:type="dxa"/>
                  <w:vAlign w:val="center"/>
                </w:tcPr>
                <w:p>
                  <w:pPr>
                    <w:keepNext w:val="0"/>
                    <w:keepLines w:val="0"/>
                    <w:suppressLineNumbers w:val="0"/>
                    <w:spacing w:before="0" w:beforeAutospacing="0" w:after="0" w:afterAutospacing="0" w:line="420" w:lineRule="exact"/>
                    <w:ind w:left="0" w:leftChars="0" w:right="0" w:rightChars="0"/>
                    <w:rPr>
                      <w:rFonts w:hint="eastAsia"/>
                      <w:lang w:val="en-US" w:eastAsia="zh-CN"/>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vAlign w:val="center"/>
                </w:tcPr>
                <w:p>
                  <w:pPr>
                    <w:keepNext w:val="0"/>
                    <w:keepLines w:val="0"/>
                    <w:suppressLineNumbers w:val="0"/>
                    <w:spacing w:before="0" w:beforeAutospacing="0" w:after="0" w:afterAutospacing="0" w:line="420" w:lineRule="exact"/>
                    <w:ind w:left="0" w:leftChars="0" w:right="0" w:rightChars="0"/>
                  </w:pPr>
                  <w:r>
                    <w:rPr>
                      <w:rFonts w:hint="eastAsia"/>
                    </w:rPr>
                    <w:t>法律法规内容变化</w:t>
                  </w:r>
                </w:p>
              </w:tc>
              <w:tc>
                <w:tcPr>
                  <w:tcW w:w="3590" w:type="dxa"/>
                  <w:vAlign w:val="center"/>
                </w:tcPr>
                <w:p>
                  <w:pPr>
                    <w:keepNext w:val="0"/>
                    <w:keepLines w:val="0"/>
                    <w:suppressLineNumbers w:val="0"/>
                    <w:spacing w:before="0" w:beforeAutospacing="0" w:after="0" w:afterAutospacing="0" w:line="420" w:lineRule="exact"/>
                    <w:ind w:left="0" w:leftChars="0" w:right="0" w:rightChars="0"/>
                    <w:rPr>
                      <w:rFonts w:hint="eastAsia" w:eastAsia="宋体"/>
                      <w:lang w:eastAsia="zh-CN"/>
                    </w:rPr>
                  </w:pPr>
                  <w:r>
                    <w:rPr>
                      <w:rFonts w:hint="eastAsia"/>
                    </w:rPr>
                    <w:t>定期检查公司所执行的法律法规、规范、标准的更新信息</w:t>
                  </w:r>
                  <w:r>
                    <w:rPr>
                      <w:rFonts w:hint="eastAsia"/>
                      <w:lang w:eastAsia="zh-CN"/>
                    </w:rPr>
                    <w:t>；</w:t>
                  </w:r>
                  <w:r>
                    <w:rPr>
                      <w:rFonts w:hint="eastAsia"/>
                    </w:rPr>
                    <w:t>对新的法律法规、规范、标准进行分析，对适用于本公司的条款予以实施控制</w:t>
                  </w:r>
                </w:p>
              </w:tc>
              <w:tc>
                <w:tcPr>
                  <w:tcW w:w="1478" w:type="dxa"/>
                  <w:vAlign w:val="center"/>
                </w:tcPr>
                <w:p>
                  <w:pPr>
                    <w:keepNext w:val="0"/>
                    <w:keepLines w:val="0"/>
                    <w:suppressLineNumbers w:val="0"/>
                    <w:spacing w:before="0" w:beforeAutospacing="0" w:after="0" w:afterAutospacing="0" w:line="420" w:lineRule="exact"/>
                    <w:ind w:left="0" w:leftChars="0" w:right="0" w:rightChars="0"/>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vAlign w:val="center"/>
                </w:tcPr>
                <w:p>
                  <w:pPr>
                    <w:keepNext w:val="0"/>
                    <w:keepLines w:val="0"/>
                    <w:suppressLineNumbers w:val="0"/>
                    <w:spacing w:before="0" w:beforeAutospacing="0" w:after="0" w:afterAutospacing="0" w:line="480" w:lineRule="exact"/>
                    <w:ind w:left="0" w:leftChars="0" w:right="0" w:rightChars="0"/>
                  </w:pPr>
                  <w:r>
                    <w:rPr>
                      <w:rFonts w:hint="eastAsia" w:ascii="Times New Roman" w:hAnsi="Times New Roman" w:cs="Times New Roman"/>
                    </w:rPr>
                    <w:t>生产安全风险</w:t>
                  </w:r>
                </w:p>
              </w:tc>
              <w:tc>
                <w:tcPr>
                  <w:tcW w:w="3590" w:type="dxa"/>
                  <w:vAlign w:val="center"/>
                </w:tcPr>
                <w:p>
                  <w:pPr>
                    <w:keepNext w:val="0"/>
                    <w:keepLines w:val="0"/>
                    <w:suppressLineNumbers w:val="0"/>
                    <w:spacing w:before="0" w:beforeAutospacing="0" w:after="0" w:afterAutospacing="0" w:line="480" w:lineRule="exact"/>
                    <w:ind w:left="0" w:leftChars="0" w:right="0" w:rightChars="0"/>
                  </w:pPr>
                  <w:r>
                    <w:rPr>
                      <w:rFonts w:hint="eastAsia"/>
                    </w:rPr>
                    <w:t>加强员工生产操作培训及设备维护保养工作，随时进行现场检查。发现隐患立即整改</w:t>
                  </w:r>
                </w:p>
              </w:tc>
              <w:tc>
                <w:tcPr>
                  <w:tcW w:w="1478" w:type="dxa"/>
                  <w:vAlign w:val="center"/>
                </w:tcPr>
                <w:p>
                  <w:pPr>
                    <w:keepNext w:val="0"/>
                    <w:keepLines w:val="0"/>
                    <w:suppressLineNumbers w:val="0"/>
                    <w:spacing w:before="0" w:beforeAutospacing="0" w:after="0" w:afterAutospacing="0" w:line="420" w:lineRule="exact"/>
                    <w:ind w:left="0" w:leftChars="0" w:right="0" w:rightChars="0"/>
                  </w:pPr>
                  <w:r>
                    <w:rPr>
                      <w:rFonts w:hint="eastAsia"/>
                      <w:lang w:val="en-US" w:eastAsia="zh-CN"/>
                    </w:rPr>
                    <w:t>措施有效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default" w:eastAsia="宋体"/>
                <w:lang w:val="en-US" w:eastAsia="zh-CN"/>
              </w:rPr>
            </w:pPr>
            <w:r>
              <w:rPr>
                <w:rFonts w:hint="eastAsia"/>
              </w:rPr>
              <w:sym w:font="Wingdings 2" w:char="0052"/>
            </w:r>
            <w:r>
              <w:rPr>
                <w:rFonts w:hint="eastAsia"/>
              </w:rPr>
              <w:t>安全现状评估报告表日期：</w:t>
            </w:r>
            <w:r>
              <w:rPr>
                <w:rFonts w:hint="eastAsia"/>
                <w:lang w:val="en-US" w:eastAsia="zh-CN"/>
              </w:rPr>
              <w:t>2021年8月</w:t>
            </w:r>
          </w:p>
          <w:p>
            <w:r>
              <w:rPr>
                <w:rFonts w:hint="eastAsia"/>
              </w:rPr>
              <w:sym w:font="Wingdings 2" w:char="00A3"/>
            </w:r>
            <w:r>
              <w:rPr>
                <w:rFonts w:hint="eastAsia"/>
              </w:rPr>
              <w:t>职业病体检报告书日期：</w:t>
            </w:r>
          </w:p>
          <w:p>
            <w:r>
              <w:rPr>
                <w:rFonts w:hint="eastAsia"/>
              </w:rPr>
              <w:t>□消防验收/备案证明日期：</w:t>
            </w:r>
          </w:p>
          <w:p>
            <w:pPr>
              <w:rPr>
                <w:rFonts w:hint="default" w:eastAsia="宋体"/>
                <w:highlight w:val="cyan"/>
                <w:lang w:val="en-US" w:eastAsia="zh-CN"/>
              </w:rPr>
            </w:pPr>
            <w:r>
              <w:rPr>
                <w:rFonts w:hint="eastAsia"/>
              </w:rPr>
              <w:sym w:font="Wingdings 2" w:char="00A3"/>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w:t>
            </w:r>
            <w:r>
              <w:rPr>
                <w:rFonts w:hint="eastAsia"/>
              </w:rPr>
              <w:sym w:font="Wingdings 2" w:char="0052"/>
            </w:r>
            <w:r>
              <w:rPr>
                <w:rFonts w:hint="eastAsia"/>
              </w:rPr>
              <w:t>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杜绝各类重伤以上事故，且事故发生率为零</w:t>
                  </w:r>
                </w:p>
              </w:tc>
              <w:tc>
                <w:tcPr>
                  <w:tcW w:w="3136" w:type="dxa"/>
                  <w:shd w:val="clear" w:color="auto" w:fill="auto"/>
                  <w:vAlign w:val="center"/>
                </w:tcPr>
                <w:p>
                  <w:pPr>
                    <w:rPr>
                      <w:lang w:val="en-GB"/>
                    </w:rPr>
                  </w:pPr>
                  <w:r>
                    <w:rPr>
                      <w:rFonts w:hint="eastAsia"/>
                      <w:lang w:val="en-GB"/>
                    </w:rPr>
                    <w:t>对重大</w:t>
                  </w:r>
                  <w:r>
                    <w:rPr>
                      <w:rFonts w:hint="eastAsia"/>
                      <w:lang w:val="en-US" w:eastAsia="zh-CN"/>
                    </w:rPr>
                    <w:t>危险源</w:t>
                  </w:r>
                  <w:r>
                    <w:rPr>
                      <w:rFonts w:hint="eastAsia"/>
                      <w:lang w:val="en-GB"/>
                    </w:rPr>
                    <w:t>进行识别，严格把控。</w:t>
                  </w:r>
                </w:p>
              </w:tc>
              <w:tc>
                <w:tcPr>
                  <w:tcW w:w="1350" w:type="dxa"/>
                  <w:shd w:val="clear" w:color="auto" w:fill="auto"/>
                  <w:vAlign w:val="center"/>
                </w:tcPr>
                <w:p>
                  <w:pPr>
                    <w:rPr>
                      <w:rFonts w:hint="default"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杜绝火灾事故，火灾事故发生率为零</w:t>
                  </w:r>
                </w:p>
              </w:tc>
              <w:tc>
                <w:tcPr>
                  <w:tcW w:w="3136" w:type="dxa"/>
                  <w:shd w:val="clear" w:color="auto" w:fill="auto"/>
                  <w:vAlign w:val="center"/>
                </w:tcPr>
                <w:p>
                  <w:pPr>
                    <w:rPr>
                      <w:rFonts w:ascii="宋体" w:hAnsi="宋体"/>
                    </w:rPr>
                  </w:pPr>
                  <w:r>
                    <w:rPr>
                      <w:rFonts w:hint="eastAsia"/>
                      <w:lang w:val="en-GB"/>
                    </w:rPr>
                    <w:t>防火安全意识教育，产生火灾的因素进行识别，定期进行安全检查。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建筑面积7500平方米，生产车间</w:t>
            </w:r>
            <w:r>
              <w:rPr>
                <w:rFonts w:hint="eastAsia"/>
                <w:lang w:val="en-US" w:eastAsia="zh-CN"/>
              </w:rPr>
              <w:t>2</w:t>
            </w:r>
            <w:r>
              <w:rPr>
                <w:rFonts w:hint="eastAsia"/>
              </w:rPr>
              <w:t>个，库房1个，实验室1个；</w:t>
            </w:r>
          </w:p>
          <w:p>
            <w:pPr>
              <w:rPr>
                <w:rFonts w:hint="eastAsia"/>
              </w:rPr>
            </w:pPr>
            <w:r>
              <w:rPr>
                <w:rFonts w:hint="eastAsia"/>
              </w:rPr>
              <w:t>主要生产设备有：冲天炉、电炉、砂箱、砂处理设备、震动落砂台、角磨机、龙门导轨磨、万能铣等</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sym w:font="Wingdings 2" w:char="0052"/>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A3"/>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A3"/>
            </w:r>
            <w:r>
              <w:rPr>
                <w:rFonts w:hint="eastAsia"/>
              </w:rPr>
              <w:t>换岗</w:t>
            </w:r>
            <w:r>
              <w:rPr>
                <w:rFonts w:hint="eastAsia" w:ascii="Wingdings" w:hAnsi="Wingdings"/>
                <w:lang w:eastAsia="zh-CN"/>
              </w:rPr>
              <w:sym w:font="Wingdings 2" w:char="00A3"/>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A3"/>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vAlign w:val="top"/>
                </w:tcPr>
                <w:p>
                  <w:pPr>
                    <w:jc w:val="left"/>
                  </w:pPr>
                  <w:r>
                    <w:rPr>
                      <w:rFonts w:hint="eastAsia"/>
                    </w:rPr>
                    <w:sym w:font="Wingdings 2" w:char="0052"/>
                  </w:r>
                  <w:r>
                    <w:rPr>
                      <w:rFonts w:hint="eastAsia"/>
                    </w:rPr>
                    <w:t>安全装置□挂牌上锁管理</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vAlign w:val="top"/>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vAlign w:val="top"/>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vAlign w:val="top"/>
                </w:tcPr>
                <w:p>
                  <w:pPr>
                    <w:jc w:val="left"/>
                  </w:pPr>
                  <w:r>
                    <w:rPr>
                      <w:rFonts w:hint="eastAsia"/>
                    </w:rPr>
                    <w:t>□设置围堰□排风系统□穿戴劳保用品</w:t>
                  </w: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vAlign w:val="top"/>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vAlign w:val="top"/>
                </w:tcPr>
                <w:p>
                  <w:pPr>
                    <w:jc w:val="left"/>
                  </w:pPr>
                  <w:r>
                    <w:rPr>
                      <w:rFonts w:hint="eastAsia"/>
                    </w:rPr>
                    <w:t>□定期检测□压力巡视</w:t>
                  </w: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vAlign w:val="top"/>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pPr>
                  <w:r>
                    <w:rPr>
                      <w:rFonts w:hint="eastAsia"/>
                    </w:rPr>
                    <w:sym w:font="Wingdings 2" w:char="0052"/>
                  </w:r>
                  <w:r>
                    <w:rPr>
                      <w:rFonts w:hint="eastAsia"/>
                      <w:lang w:val="en-US" w:eastAsia="zh-CN"/>
                    </w:rPr>
                    <w:t>消防装置</w:t>
                  </w:r>
                  <w:r>
                    <w:rPr>
                      <w:rFonts w:hint="eastAsia"/>
                    </w:rPr>
                    <w:sym w:font="Wingdings 2" w:char="0052"/>
                  </w:r>
                  <w:r>
                    <w:rPr>
                      <w:rFonts w:hint="eastAsia"/>
                      <w:lang w:val="en-US" w:eastAsia="zh-CN"/>
                    </w:rPr>
                    <w:t>应急演练</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起重机械定期检验报告（电动单梁起重机）设备代码∶41704110120130382，使用登记证编号∶  起17冀I02799（19）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于2022年5月16日进行了火灾应急演练；并总结了预案的可行性和有效性。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定期（每年）：2022年6月21日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《作业场所有害物质监测报告》编号：652021XP0022。</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未能提供定期职业病体检报告，与负责人沟通，已联系体检单位安排</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通过年度策划于2022年6月20日实施了职业健康安全管理体系内部审核，对职业健康安全管理体系的符合性和有效性进行了审核。内审发现的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最高管理者已按策划的时间间隔，在2022年6月30日对组织的职业健康安全管理体系进行了评审，以确保其持续的适宜性、充分性和有效性；管理评审输入、输出均按要求提供。并对提出的改进措施进行了落实。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ExNTRhZmMwYTZhMGE0NzY5YTQ4OGYyNzNkZGE0NDYifQ=="/>
  </w:docVars>
  <w:rsids>
    <w:rsidRoot w:val="00000000"/>
    <w:rsid w:val="0200598C"/>
    <w:rsid w:val="052F5589"/>
    <w:rsid w:val="12891287"/>
    <w:rsid w:val="163F6D8E"/>
    <w:rsid w:val="1ADD03C2"/>
    <w:rsid w:val="1E3E4FB4"/>
    <w:rsid w:val="24015121"/>
    <w:rsid w:val="370234AA"/>
    <w:rsid w:val="476870E2"/>
    <w:rsid w:val="492F7877"/>
    <w:rsid w:val="4CBE1552"/>
    <w:rsid w:val="4F766114"/>
    <w:rsid w:val="4FC854F3"/>
    <w:rsid w:val="525A3ACB"/>
    <w:rsid w:val="55275A0F"/>
    <w:rsid w:val="5CE46DB3"/>
    <w:rsid w:val="5E032EB1"/>
    <w:rsid w:val="5EAC56AE"/>
    <w:rsid w:val="5F887EC9"/>
    <w:rsid w:val="60EE1FAE"/>
    <w:rsid w:val="63A66B70"/>
    <w:rsid w:val="63C82F8A"/>
    <w:rsid w:val="69F148BD"/>
    <w:rsid w:val="6D376120"/>
    <w:rsid w:val="78556C0E"/>
    <w:rsid w:val="787B4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13798</Words>
  <Characters>14574</Characters>
  <Lines>150</Lines>
  <Paragraphs>42</Paragraphs>
  <TotalTime>85</TotalTime>
  <ScaleCrop>false</ScaleCrop>
  <LinksUpToDate>false</LinksUpToDate>
  <CharactersWithSpaces>14670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2022-09-25T13:17:30Z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