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bookmarkStart w:id="0" w:name="QJ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泊头市中金机械设备制造有限公司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Q:</w:t>
            </w:r>
            <w:r>
              <w:rPr>
                <w:sz w:val="20"/>
                <w:lang w:val="de-DE"/>
              </w:rPr>
              <w:t>17.05.01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Q:</w:t>
            </w:r>
            <w:r>
              <w:rPr>
                <w:sz w:val="20"/>
                <w:lang w:val="de-DE"/>
              </w:rPr>
              <w:t>17.05.02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工艺流程：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铸铁件的生产：图纸审核-模型制作-采购材料（生铁）-造型-熔炼和浇注-清砂-打磨-检验-出厂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铸钢件的生产：图纸审核-模型制作-采购材料（废钢）-造型-熔炼和浇注-清砂-打磨-检验-出厂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焊接件的生产：图纸审核-采购材料（钢板）-焊接-打磨-加工-检验-出厂</w:t>
            </w:r>
          </w:p>
          <w:p>
            <w:pPr>
              <w:snapToGrid w:val="0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业务洽谈→签订合同→备货→验货→出货→客户管理→持续改进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关键过程；熔炼和浇注；主要控制：金属熔炼温度控制和炉前检验、浇注温度和速度。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需确认过程：焊接；主要控制：焊接电流、电压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GB/T 22095-2008《铸铁平板》；GB/T 9439-88《灰铸铁件》；GB/T 11351-1989《铸件重量公差》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GB/T22095-2008平台标准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</w:rPr>
              <w:t>GBT1031-1995 表面粗糙度 参数及其数值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</w:rPr>
              <w:t>GB/T6060.1-1997 表面粗糙度比较样块 铸造表面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</w:rPr>
              <w:t>GB6414-1999铸件尺寸公差与机械加工余量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</w:rPr>
              <w:t>GB/T1135-89铸件质（重）量公差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</w:rPr>
              <w:t>GB799-88地脚螺栓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；GB/T 9443-2019铸钢铸铁件 渗透检测；GB/T 9437-2009耐热铸铁件；GB/T 9444-2019铸钢铸铁件 磁粉检测；GB/T 23570-2009金属切削机床焊接件 通用技术条件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主要检测有材质、硬度、形位公差、尺寸等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-342900</wp:posOffset>
                  </wp:positionV>
                  <wp:extent cx="530860" cy="1440180"/>
                  <wp:effectExtent l="0" t="0" r="0" b="2540"/>
                  <wp:wrapNone/>
                  <wp:docPr id="1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308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-441960</wp:posOffset>
                  </wp:positionV>
                  <wp:extent cx="421640" cy="1570990"/>
                  <wp:effectExtent l="0" t="0" r="0" b="10795"/>
                  <wp:wrapNone/>
                  <wp:docPr id="3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19085" t="41208" r="56262" b="3111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2164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-371475</wp:posOffset>
                  </wp:positionV>
                  <wp:extent cx="530860" cy="1440180"/>
                  <wp:effectExtent l="0" t="0" r="0" b="2540"/>
                  <wp:wrapNone/>
                  <wp:docPr id="10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308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-422275</wp:posOffset>
                  </wp:positionV>
                  <wp:extent cx="421640" cy="1570990"/>
                  <wp:effectExtent l="0" t="0" r="0" b="10795"/>
                  <wp:wrapNone/>
                  <wp:docPr id="14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19085" t="41208" r="56262" b="3111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2164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1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109"/>
        <w:gridCol w:w="1685"/>
        <w:gridCol w:w="190"/>
        <w:gridCol w:w="1341"/>
        <w:gridCol w:w="19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泊头市中金机械设备制造有限公司</w:t>
            </w:r>
          </w:p>
        </w:tc>
        <w:tc>
          <w:tcPr>
            <w:tcW w:w="153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O:</w:t>
            </w:r>
            <w:r>
              <w:rPr>
                <w:sz w:val="20"/>
                <w:lang w:val="de-DE"/>
              </w:rPr>
              <w:t>17.05.01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17.05.02</w:t>
            </w:r>
            <w:r>
              <w:rPr>
                <w:rFonts w:hint="eastAsia"/>
                <w:sz w:val="20"/>
                <w:lang w:val="en-US" w:eastAsia="zh-CN"/>
              </w:rPr>
              <w:t>O:</w:t>
            </w:r>
            <w:r>
              <w:rPr>
                <w:sz w:val="20"/>
                <w:lang w:val="de-DE"/>
              </w:rPr>
              <w:t>17.10.02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17.11.03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17.05.01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17.05.0217.10.02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17.11.03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80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工艺流程：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铸铁件的生产：图纸审核-模型制作-采购材料（生铁）-造型-熔炼和浇注-清砂-打磨-检验-出厂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铸钢件的生产：图纸审核-模型制作-采购材料（废钢）-造型-熔炼和浇注-清砂-打磨-检验-出厂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焊接件的生产：图纸审核-采购材料（钢板）-焊接-打磨-加工-检验-出厂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业务洽谈→签订合同→备货→验货→出货→客户管理→持续改进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8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提供有《不可接受风险清单》，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已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识别不可接受风险包括：职业病、触电、高温中暑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机械伤害、噪声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，并制定有控制措施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，责任部门明确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职业病：佩戴劳保用品，定期职业病体检、触电：专业人员培训，定期线路查核、机械伤害：安全教育培训，上岗培训等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（1）防尘、防毒措施 该用人单位生产过程采用自然通风和机械通风相结合的方式。 ①在打磨、电炉、砂处理、混砂、落砂等设备上方均安装有吸风 罩，经密闭管道连接布袋除尘器； ②冲天炉连接脱硫除尘设备； ③浇注工序安装有吸风罩通过密闭管道连接至活性炭吸附装置进 行尾气处理； （2）防噪措施 该用人单位选用的生产设备为同行业噪声相对较低设备，且噪声 较大设备基础采用了减振垫等减振措施，降低了噪声强度。 （3）高温防暑降温措施 该用人单位车间设有工业电扇等通风设施，自然通风良好，并且 为防止劳动者夏季高温中暑，该用人单位为劳动者发放清凉饮料并配</w:t>
            </w:r>
            <w:bookmarkStart w:id="1" w:name="_GoBack"/>
            <w:bookmarkEnd w:id="1"/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备了防暑降温药品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80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《职业卫生标准管理办法》、《作业场所职业危害申报管理办法》、《职业性健康检查管理规定》、《职业病防治法》、《中华人民共和国安全生产法》、《中华人民共和国尘肺病防治条例》、《劳动防护用品配备标准》、《安全生产条例》、《消防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80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提供有年度监测报告，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 xml:space="preserve"> 编号 ：652022DQ0053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80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-356870</wp:posOffset>
                  </wp:positionV>
                  <wp:extent cx="530860" cy="1440180"/>
                  <wp:effectExtent l="0" t="0" r="0" b="2540"/>
                  <wp:wrapNone/>
                  <wp:docPr id="4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308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-437515</wp:posOffset>
                  </wp:positionV>
                  <wp:extent cx="421640" cy="1570990"/>
                  <wp:effectExtent l="0" t="0" r="0" b="10795"/>
                  <wp:wrapNone/>
                  <wp:docPr id="5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19085" t="41208" r="56262" b="3111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2164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-371475</wp:posOffset>
                  </wp:positionV>
                  <wp:extent cx="530860" cy="1440180"/>
                  <wp:effectExtent l="0" t="0" r="0" b="2540"/>
                  <wp:wrapNone/>
                  <wp:docPr id="17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308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28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-422275</wp:posOffset>
                  </wp:positionV>
                  <wp:extent cx="421640" cy="1570990"/>
                  <wp:effectExtent l="0" t="0" r="0" b="10795"/>
                  <wp:wrapNone/>
                  <wp:docPr id="18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19085" t="41208" r="56262" b="3111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2164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0EC377D"/>
    <w:rsid w:val="05B45403"/>
    <w:rsid w:val="2A051E9D"/>
    <w:rsid w:val="37CB363F"/>
    <w:rsid w:val="6DD10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8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2022-09-25T13:14:31Z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