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0183-2020-2021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399"/>
        <w:gridCol w:w="1438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福建碧海源信息科技有限公司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COD在线分析仪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0-1000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mg/L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U=2%FS,K=2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标准溶液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电子天平1级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电热恒温干燥箱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61115046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101-0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U=0.6°K=2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温度巡回检测仪U=0.08°K=2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Z23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量块3等1级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2021.7.23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示波器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935750590669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UTD2112CEX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Style w:val="13"/>
                <w:rFonts w:ascii="Times New Roman" w:hAnsi="Times New Roman" w:cs="Times New Roman"/>
                <w:i w:val="0"/>
                <w:iCs/>
                <w:color w:val="auto"/>
                <w:sz w:val="18"/>
                <w:szCs w:val="18"/>
                <w:lang w:bidi="ar"/>
              </w:rPr>
              <w:t>电压：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rel=0.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ascii="Times New Roman" w:hAnsi="Times New Roman" w:cs="Times New Roman"/>
                <w:i w:val="0"/>
                <w:iCs/>
                <w:color w:val="auto"/>
                <w:sz w:val="18"/>
                <w:szCs w:val="18"/>
                <w:lang w:bidi="ar"/>
              </w:rPr>
              <w:t>时间：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rel=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带宽：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rel=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上升时间：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rel=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4.6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=2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程控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示波器校准仪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V=0.5%T=0.01%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高频信号发生器LEV:±0.02dB,f:2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-7</w:t>
            </w:r>
          </w:p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函数信号发生器1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2021.7.23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总磷在线分析仪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Z57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mg/L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波长：U=0.8nm,浓度：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rel=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K=2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紫外分光光度计二级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研发部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负责溯源。公司测量设全部委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广东精衡检测科技有限公司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研发部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4291330</wp:posOffset>
                  </wp:positionH>
                  <wp:positionV relativeFrom="paragraph">
                    <wp:posOffset>98425</wp:posOffset>
                  </wp:positionV>
                  <wp:extent cx="485140" cy="264160"/>
                  <wp:effectExtent l="0" t="0" r="10160" b="2540"/>
                  <wp:wrapSquare wrapText="bothSides"/>
                  <wp:docPr id="4" name="图片 4" descr="6cae64285d0c29fd9d1aa40f3300e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cae64285d0c29fd9d1aa40f3300e0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0072" t="34900" r="62736" b="44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2641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effectLst>
                            <a:outerShdw blurRad="76200" dir="13500000" sy="23000" kx="1200000" algn="br" rotWithShape="0">
                              <a:schemeClr val="tx1">
                                <a:alpha val="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6C49BF"/>
    <w:rsid w:val="73287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i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2021-10-20T08:55:55Z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DA20FE311FCE4C268192527C6E9F45BE</vt:lpwstr>
  </property>
</Properties>
</file>