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2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四川国铮实业有限公司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四川省成都市成华区东三环路二段龙潭工业园成致路48号1楼09号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四川省成都市青羊区下南大街2号1栋7层712号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闵慧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13880291818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2261374893@qq.com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bookmarkStart w:id="8" w:name="管理者代表"/>
            <w:r>
              <w:t>王婧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9" w:name="管代电话"/>
            <w:bookmarkEnd w:id="9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1041-2021-QEO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通信产品(数字电缆、电力电缆、光缆、皮线光缆、光纤跳线、接头盒、终端盒、光缆交接箱、分光器、蝶形引入光缆熔端型连接器、蝶形引入光缆熔端型接续器)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(安全带、灭火器、消防箱)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通信产品(数字电缆、电力电缆、光缆、皮线光缆、光纤跳线、接头盒、终端盒、光缆交接箱、分光器、蝶形引入光缆熔端型连接器、蝶形引入光缆熔端型接续器)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(安全带、灭火器、消防箱)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信产品(数字电缆、电力电缆、光缆、皮线光缆、光纤跳线、接头盒、终端盒、光缆交接箱、分光器、蝶形引入光缆熔端型连接器、蝶形引入光缆熔端型接续器)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(安全带、灭火器、消防箱)的销售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2021年10月11日 上午至2021年10月12日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2021-N0EMS-1263525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30"/>
        <w:gridCol w:w="935"/>
        <w:gridCol w:w="4750"/>
        <w:gridCol w:w="113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9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50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750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/信息交流、9.3管理评审、10.1改进、10.3持续改进，</w:t>
            </w:r>
          </w:p>
          <w:p>
            <w:pPr>
              <w:ind w:firstLine="396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35" w:type="dxa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750" w:type="dxa"/>
          </w:tcPr>
          <w:p>
            <w:pPr>
              <w:pStyle w:val="2"/>
              <w:rPr>
                <w:rFonts w:hint="default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EO:5.3组织的岗位、职责和权限、6.2管理目标、6.1.2环境因素和危险源的识别</w:t>
            </w:r>
            <w:r>
              <w:rPr>
                <w:rFonts w:hint="eastAsia" w:ascii="宋体" w:hAnsi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、评价</w:t>
            </w: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和控制、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93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4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750" w:type="dxa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安全目标及其实现的策划、7.1.1（O7.1）资源总则、7.4沟通/信息交流、9.3管理评审、10.1改进、10.3持续改进，</w:t>
            </w:r>
          </w:p>
          <w:p>
            <w:pPr>
              <w:ind w:firstLine="396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750" w:type="dxa"/>
          </w:tcPr>
          <w:p>
            <w:pPr>
              <w:spacing w:line="300" w:lineRule="exact"/>
              <w:jc w:val="left"/>
              <w:rPr>
                <w:rFonts w:hint="eastAsia"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val="en-US" w:eastAsia="zh-CN"/>
              </w:rPr>
              <w:t>7.1.2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</w:rPr>
              <w:t>人员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val="en-US" w:eastAsia="zh-CN"/>
              </w:rPr>
              <w:t>7.1.3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</w:rPr>
              <w:t>基础设施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val="en-US" w:eastAsia="zh-CN"/>
              </w:rPr>
              <w:t>7.1.4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</w:rPr>
              <w:t>过程运行环境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val="en-US" w:eastAsia="zh-CN"/>
              </w:rPr>
              <w:t>7.1.5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</w:rPr>
              <w:t>监视和测量资源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  <w:lang w:val="en-US" w:eastAsia="zh-CN"/>
              </w:rPr>
              <w:t>7.1.6</w:t>
            </w:r>
            <w:r>
              <w:rPr>
                <w:rFonts w:hint="eastAsia" w:ascii="宋体" w:hAnsi="宋体" w:cs="Arial"/>
                <w:color w:val="FF0000"/>
                <w:sz w:val="21"/>
                <w:szCs w:val="21"/>
                <w:u w:val="none"/>
              </w:rPr>
              <w:t>组织的知识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7.2能力、7.3意识、7.5形成文件的信息、9.1.1监视、测量、分析和评价总则、9.1.3分析与评价、9.2 内部审核、10.2不合格和纠正措施，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5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h）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销售部</w:t>
            </w:r>
          </w:p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4750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:5.3组织的岗位、职责和权限、6.2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目标，</w:t>
            </w: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6.1.2环境因素和危险源的识别</w:t>
            </w:r>
            <w:r>
              <w:rPr>
                <w:rFonts w:hint="eastAsia" w:ascii="宋体" w:hAnsi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、评价</w:t>
            </w: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和控制、</w:t>
            </w:r>
          </w:p>
        </w:tc>
        <w:tc>
          <w:tcPr>
            <w:tcW w:w="11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75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cs="Arial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Q:5.3组织的岗位、职责和权限、6.2管理目标、8.5.3顾客或外部供方的财产、8.4外部提供过程、产品和服务的控制、8.1运行策划和控制、8.5.2产品标识和可追朔性、8.5.4产品防护，</w:t>
            </w:r>
          </w:p>
        </w:tc>
        <w:tc>
          <w:tcPr>
            <w:tcW w:w="11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9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4750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935" w:type="dxa"/>
            <w:shd w:val="clear" w:color="auto" w:fill="C7DAF1" w:themeFill="text2" w:themeFillTint="32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750" w:type="dxa"/>
            <w:shd w:val="clear" w:color="auto" w:fill="C7DAF1" w:themeFill="text2" w:themeFillTint="32"/>
          </w:tcPr>
          <w:p>
            <w:pPr>
              <w:spacing w:line="300" w:lineRule="exact"/>
              <w:jc w:val="left"/>
              <w:rPr>
                <w:rFonts w:hint="eastAsia"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: 5.3组织的岗位、职责和权限、6.1.2危险源、6.1.3合规义务、6.2.1职业健康安全目标、6.2.2实现职业健康安全目标措施的策划、7.2能力、7.3意识、7.5形成文件的信息、8.1运行策划和控制、8.2应急准备和响应、9.1监视、测量、分析和评价（9.1.1总则、9.1.2合规性评价）、9.2 内部审核、10.2不合格和纠正措施，</w:t>
            </w:r>
          </w:p>
        </w:tc>
        <w:tc>
          <w:tcPr>
            <w:tcW w:w="1135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75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Q:5.3组织的岗位、职责和权限、6.2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目标、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8.2产品和服务的要求、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8.5.3顾客或外部供方的财产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、8.1运行策划和控制、</w:t>
            </w:r>
            <w:r>
              <w:rPr>
                <w:rFonts w:hint="eastAsia" w:ascii="宋体" w:hAnsi="宋体" w:cs="Arial"/>
                <w:b w:val="0"/>
                <w:bCs w:val="0"/>
                <w:color w:val="0000FF"/>
                <w:sz w:val="21"/>
                <w:szCs w:val="21"/>
                <w:u w:val="none"/>
                <w:lang w:val="en-US" w:eastAsia="zh-CN"/>
              </w:rPr>
              <w:t>8.3设计和开发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8.5.1销售和服务提供的控制、8.5.2产品标识和可追朔性、8.5.4产品防护、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8.5.5交</w:t>
            </w:r>
            <w:bookmarkStart w:id="34" w:name="_GoBack"/>
            <w:bookmarkEnd w:id="34"/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付后的活动、8.5.6销售和服务提供的更改控制，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</w:p>
        </w:tc>
        <w:tc>
          <w:tcPr>
            <w:tcW w:w="10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935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75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:5.3组织的岗位、职责和权限、6.2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目标、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8.1运行策划和控制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，</w:t>
            </w: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6.1.2危险源的识别</w:t>
            </w:r>
            <w:r>
              <w:rPr>
                <w:rFonts w:hint="eastAsia" w:ascii="宋体" w:hAnsi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、评价</w:t>
            </w: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和控制、</w:t>
            </w:r>
          </w:p>
        </w:tc>
        <w:tc>
          <w:tcPr>
            <w:tcW w:w="1135" w:type="dxa"/>
            <w:shd w:val="clear" w:color="auto" w:fill="C7DAF1" w:themeFill="text2" w:themeFillTint="32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EO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935" w:type="dxa"/>
            <w:shd w:val="clear" w:color="auto" w:fill="F2DCDC" w:themeFill="accent2" w:themeFillTint="32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750" w:type="dxa"/>
            <w:shd w:val="clear" w:color="auto" w:fill="F2DCDC" w:themeFill="accent2" w:themeFillTint="32"/>
          </w:tcPr>
          <w:p>
            <w:pPr>
              <w:spacing w:line="300" w:lineRule="exact"/>
              <w:ind w:firstLine="840" w:firstLineChars="4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1135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</w:p>
        </w:tc>
        <w:tc>
          <w:tcPr>
            <w:tcW w:w="109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-16:40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7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与企业</w:t>
            </w:r>
            <w:r>
              <w:rPr>
                <w:rFonts w:hint="eastAsia"/>
                <w:sz w:val="21"/>
                <w:szCs w:val="21"/>
              </w:rPr>
              <w:t>沟通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75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75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1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9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81223"/>
    <w:rsid w:val="0BC9430E"/>
    <w:rsid w:val="14F42619"/>
    <w:rsid w:val="32022F76"/>
    <w:rsid w:val="508F2B17"/>
    <w:rsid w:val="58A8717B"/>
    <w:rsid w:val="63AD2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2021-10-18T02:27:47Z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