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1032-2021-F</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黔南兴隆生物科技有限公司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肖新龙</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91522726MA6DK8CC5N</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sz w:val="22"/>
                <w:szCs w:val="22"/>
                <w:lang w:val="en-US" w:eastAsia="zh-CN"/>
              </w:rPr>
              <w:t>□ 带标  □不带标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r>
              <w:rPr>
                <w:rFonts w:hint="eastAsia"/>
                <w:sz w:val="22"/>
                <w:szCs w:val="22"/>
                <w:lang w:val="en-US" w:eastAsia="zh-CN"/>
              </w:rPr>
              <w:sym w:font="Wingdings 2" w:char="00A3"/>
            </w:r>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6" w:name="E勾选"/>
            <w:r>
              <w:rPr>
                <w:rFonts w:hint="eastAsia"/>
                <w:sz w:val="22"/>
                <w:szCs w:val="22"/>
                <w:lang w:val="en-US" w:eastAsia="zh-CN"/>
              </w:rPr>
              <w:t>□</w:t>
            </w:r>
            <w:bookmarkEnd w:id="6"/>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7" w:name="S勾选"/>
            <w:r>
              <w:rPr>
                <w:rFonts w:hint="eastAsia"/>
                <w:sz w:val="22"/>
                <w:szCs w:val="22"/>
                <w:lang w:val="en-US" w:eastAsia="zh-CN"/>
              </w:rPr>
              <w:t>□</w:t>
            </w:r>
            <w:bookmarkEnd w:id="7"/>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8" w:name="EnMS勾选"/>
            <w:r>
              <w:rPr>
                <w:rFonts w:hint="eastAsia"/>
                <w:sz w:val="22"/>
                <w:szCs w:val="22"/>
                <w:lang w:val="en-US" w:eastAsia="zh-CN"/>
              </w:rPr>
              <w:t>□</w:t>
            </w:r>
            <w:bookmarkEnd w:id="8"/>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9" w:name="F勾选"/>
            <w:r>
              <w:rPr>
                <w:rFonts w:hint="eastAsia"/>
                <w:sz w:val="22"/>
                <w:szCs w:val="22"/>
                <w:lang w:val="en-US" w:eastAsia="zh-CN"/>
              </w:rPr>
              <w:t>■</w:t>
            </w:r>
            <w:bookmarkEnd w:id="9"/>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0" w:name="H勾选"/>
            <w:r>
              <w:rPr>
                <w:rFonts w:hint="eastAsia"/>
                <w:sz w:val="22"/>
                <w:szCs w:val="22"/>
                <w:lang w:val="en-US" w:eastAsia="zh-CN"/>
              </w:rPr>
              <w:t>□</w:t>
            </w:r>
            <w:bookmarkEnd w:id="10"/>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1" w:name="体系人数"/>
            <w:r>
              <w:rPr>
                <w:rFonts w:hint="eastAsia"/>
                <w:sz w:val="22"/>
                <w:szCs w:val="22"/>
                <w:lang w:val="en-US" w:eastAsia="zh-CN"/>
              </w:rPr>
              <w:t>11</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2"/>
              <w:spacing w:line="400" w:lineRule="exact"/>
              <w:ind w:firstLine="0"/>
              <w:rPr>
                <w:rFonts w:hint="eastAsia"/>
                <w:sz w:val="22"/>
                <w:szCs w:val="22"/>
                <w:lang w:val="en-US" w:eastAsia="zh-CN"/>
              </w:rPr>
            </w:pPr>
            <w:bookmarkStart w:id="12" w:name="初审"/>
            <w:r>
              <w:rPr>
                <w:rFonts w:hint="eastAsia"/>
                <w:b/>
                <w:color w:val="000000" w:themeColor="text1"/>
                <w:spacing w:val="-2"/>
                <w:sz w:val="21"/>
                <w:szCs w:val="21"/>
              </w:rPr>
              <w:t>■</w:t>
            </w:r>
            <w:bookmarkEnd w:id="12"/>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3" w:name="监督勾选"/>
            <w:r>
              <w:rPr>
                <w:rFonts w:hint="eastAsia"/>
                <w:b/>
                <w:color w:val="000000" w:themeColor="text1"/>
                <w:spacing w:val="-2"/>
                <w:sz w:val="21"/>
                <w:szCs w:val="21"/>
              </w:rPr>
              <w:t>□</w:t>
            </w:r>
            <w:bookmarkEnd w:id="13"/>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4" w:name="再认证勾选"/>
            <w:r>
              <w:rPr>
                <w:rFonts w:hint="eastAsia"/>
                <w:b/>
                <w:color w:val="000000" w:themeColor="text1"/>
                <w:spacing w:val="-2"/>
                <w:sz w:val="21"/>
                <w:szCs w:val="21"/>
              </w:rPr>
              <w:t>□</w:t>
            </w:r>
            <w:bookmarkEnd w:id="14"/>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5" w:name="特殊审核勾选"/>
            <w:r>
              <w:rPr>
                <w:rFonts w:hint="eastAsia"/>
                <w:b/>
                <w:color w:val="000000" w:themeColor="text1"/>
                <w:spacing w:val="-2"/>
                <w:sz w:val="21"/>
                <w:szCs w:val="21"/>
                <w:lang w:val="en-US" w:eastAsia="zh-CN"/>
              </w:rPr>
              <w:t>□</w:t>
            </w:r>
            <w:bookmarkEnd w:id="15"/>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6" w:name="组织名称Add1"/>
            <w:r>
              <w:rPr>
                <w:rFonts w:hint="eastAsia" w:ascii="Times New Roman" w:hAnsi="Times New Roman" w:eastAsia="宋体" w:cs="Times New Roman"/>
                <w:b w:val="0"/>
                <w:kern w:val="2"/>
                <w:sz w:val="22"/>
                <w:szCs w:val="22"/>
                <w:lang w:val="en-US" w:eastAsia="zh-CN" w:bidi="ar-SA"/>
              </w:rPr>
              <w:t>黔南兴隆生物科技有限公司</w:t>
            </w:r>
            <w:bookmarkEnd w:id="16"/>
          </w:p>
        </w:tc>
        <w:tc>
          <w:tcPr>
            <w:tcW w:w="5013" w:type="dxa"/>
            <w:gridSpan w:val="4"/>
            <w:vMerge w:val="restart"/>
          </w:tcPr>
          <w:p>
            <w:pPr>
              <w:snapToGrid w:val="0"/>
              <w:spacing w:line="360" w:lineRule="auto"/>
              <w:jc w:val="left"/>
              <w:rPr>
                <w:rFonts w:hint="eastAsia" w:cs="Times New Roman"/>
                <w:b w:val="0"/>
                <w:kern w:val="2"/>
                <w:sz w:val="22"/>
                <w:szCs w:val="22"/>
                <w:lang w:val="en-US" w:eastAsia="zh-CN" w:bidi="ar-SA"/>
              </w:rPr>
            </w:pPr>
            <w:bookmarkStart w:id="17" w:name="审核范围"/>
            <w:r>
              <w:rPr>
                <w:sz w:val="21"/>
                <w:szCs w:val="21"/>
              </w:rPr>
              <w:t>位于贵州省黔南布依族苗族自治州独山县麻尾工业园区内黔南兴隆生物科技有限公司生产车间的食品添加剂（</w:t>
            </w:r>
            <w:r>
              <w:rPr>
                <w:rFonts w:hint="eastAsia"/>
                <w:sz w:val="21"/>
                <w:szCs w:val="21"/>
                <w:lang w:val="en-US" w:eastAsia="zh-CN"/>
              </w:rPr>
              <w:t>碳酸钙【</w:t>
            </w:r>
            <w:r>
              <w:rPr>
                <w:sz w:val="21"/>
                <w:szCs w:val="21"/>
              </w:rPr>
              <w:t>重质碳酸钙</w:t>
            </w:r>
            <w:r>
              <w:rPr>
                <w:rFonts w:hint="eastAsia"/>
                <w:sz w:val="21"/>
                <w:szCs w:val="21"/>
                <w:lang w:val="en-US" w:eastAsia="zh-CN"/>
              </w:rPr>
              <w:t>】</w:t>
            </w:r>
            <w:r>
              <w:rPr>
                <w:sz w:val="21"/>
                <w:szCs w:val="21"/>
              </w:rPr>
              <w:t>）的生产</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8" w:name="注册地址"/>
            <w:r>
              <w:rPr>
                <w:rFonts w:hint="eastAsia" w:ascii="Times New Roman" w:hAnsi="Times New Roman" w:eastAsia="宋体" w:cs="Times New Roman"/>
                <w:b w:val="0"/>
                <w:kern w:val="2"/>
                <w:sz w:val="22"/>
                <w:szCs w:val="22"/>
                <w:lang w:val="en-GB" w:eastAsia="zh-CN" w:bidi="ar-SA"/>
              </w:rPr>
              <w:t>贵州省黔南布依族苗族自治州独山县麻尾工业园区内</w:t>
            </w:r>
            <w:bookmarkEnd w:id="18"/>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9" w:name="办公地址"/>
            <w:r>
              <w:rPr>
                <w:rFonts w:hint="eastAsia" w:ascii="Times New Roman" w:hAnsi="Times New Roman" w:eastAsia="宋体" w:cs="Times New Roman"/>
                <w:b w:val="0"/>
                <w:kern w:val="2"/>
                <w:sz w:val="22"/>
                <w:szCs w:val="22"/>
                <w:lang w:val="en-GB" w:eastAsia="zh-CN" w:bidi="ar-SA"/>
              </w:rPr>
              <w:t>贵州省黔南布依族苗族自治州独山县麻尾工业园区内</w:t>
            </w:r>
            <w:bookmarkEnd w:id="19"/>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highlight w:val="none"/>
                <w:lang w:val="en-US" w:eastAsia="zh-CN" w:bidi="ar-SA"/>
              </w:rPr>
            </w:pPr>
            <w:r>
              <w:rPr>
                <w:rFonts w:cs="Arial"/>
                <w:b/>
                <w:bCs/>
                <w:sz w:val="22"/>
                <w:szCs w:val="16"/>
                <w:highlight w:val="none"/>
                <w:lang w:val="en-US"/>
              </w:rPr>
              <w:t>Company Name</w:t>
            </w:r>
            <w:r>
              <w:rPr>
                <w:rFonts w:hint="eastAsia" w:ascii="Times New Roman" w:hAnsi="Times New Roman" w:eastAsia="宋体" w:cs="Times New Roman"/>
                <w:b w:val="0"/>
                <w:kern w:val="2"/>
                <w:sz w:val="22"/>
                <w:szCs w:val="22"/>
                <w:highlight w:val="none"/>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highlight w:val="none"/>
                <w:lang w:val="en-US" w:eastAsia="zh-CN" w:bidi="ar-SA"/>
              </w:rPr>
            </w:pPr>
            <w:r>
              <w:rPr>
                <w:rFonts w:hint="eastAsia" w:ascii="Times New Roman" w:hAnsi="Times New Roman" w:eastAsia="宋体" w:cs="Times New Roman"/>
                <w:b w:val="0"/>
                <w:kern w:val="2"/>
                <w:sz w:val="22"/>
                <w:szCs w:val="22"/>
                <w:highlight w:val="none"/>
                <w:lang w:val="en-US" w:eastAsia="zh-CN" w:bidi="ar-SA"/>
              </w:rPr>
              <w:t>Qiannan Xinglong Biological Technology Co., Ltd.</w:t>
            </w:r>
          </w:p>
        </w:tc>
        <w:tc>
          <w:tcPr>
            <w:tcW w:w="1337" w:type="dxa"/>
          </w:tcPr>
          <w:p>
            <w:pPr>
              <w:snapToGrid w:val="0"/>
              <w:spacing w:line="0" w:lineRule="atLeast"/>
              <w:jc w:val="left"/>
              <w:rPr>
                <w:rFonts w:hint="default" w:ascii="Times New Roman" w:hAnsi="Times New Roman" w:eastAsia="宋体" w:cs="Times New Roman"/>
                <w:b w:val="0"/>
                <w:kern w:val="2"/>
                <w:sz w:val="22"/>
                <w:szCs w:val="22"/>
                <w:highlight w:val="none"/>
                <w:lang w:val="en-US" w:eastAsia="zh-CN" w:bidi="ar-SA"/>
              </w:rPr>
            </w:pPr>
            <w:r>
              <w:rPr>
                <w:rFonts w:hint="eastAsia" w:cs="Times New Roman"/>
                <w:b w:val="0"/>
                <w:kern w:val="2"/>
                <w:sz w:val="22"/>
                <w:szCs w:val="22"/>
                <w:highlight w:val="none"/>
                <w:lang w:val="en-US" w:eastAsia="zh-CN" w:bidi="ar-SA"/>
              </w:rPr>
              <w:t>QMS/EcMS</w:t>
            </w:r>
          </w:p>
        </w:tc>
        <w:tc>
          <w:tcPr>
            <w:tcW w:w="3676" w:type="dxa"/>
            <w:gridSpan w:val="3"/>
          </w:tcPr>
          <w:p>
            <w:pPr>
              <w:snapToGrid w:val="0"/>
              <w:spacing w:line="0" w:lineRule="atLeast"/>
              <w:jc w:val="left"/>
              <w:rPr>
                <w:rFonts w:hint="eastAsia"/>
                <w:sz w:val="21"/>
                <w:szCs w:val="16"/>
                <w:highlight w:val="none"/>
                <w:lang w:val="en-US" w:eastAsia="zh-CN"/>
              </w:rPr>
            </w:pPr>
            <w:r>
              <w:rPr>
                <w:rFonts w:hint="eastAsia" w:cs="Times New Roman"/>
                <w:b w:val="0"/>
                <w:kern w:val="2"/>
                <w:sz w:val="22"/>
                <w:szCs w:val="22"/>
                <w:highlight w:val="none"/>
                <w:lang w:val="en-US" w:eastAsia="zh-CN" w:bidi="ar-SA"/>
              </w:rPr>
              <w:t>——</w:t>
            </w:r>
            <w:bookmarkStart w:id="20" w:name="_GoBack"/>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76" w:type="dxa"/>
            <w:vMerge w:val="continue"/>
          </w:tcPr>
          <w:p>
            <w:pPr>
              <w:snapToGrid w:val="0"/>
              <w:spacing w:line="0" w:lineRule="atLeast"/>
              <w:jc w:val="left"/>
              <w:rPr>
                <w:rFonts w:cs="Arial"/>
                <w:b/>
                <w:bCs/>
                <w:sz w:val="22"/>
                <w:szCs w:val="16"/>
                <w:highlight w:val="none"/>
                <w:lang w:val="en-US"/>
              </w:rPr>
            </w:pPr>
          </w:p>
        </w:tc>
        <w:tc>
          <w:tcPr>
            <w:tcW w:w="3373" w:type="dxa"/>
            <w:vMerge w:val="continue"/>
          </w:tcPr>
          <w:p>
            <w:pPr>
              <w:snapToGrid w:val="0"/>
              <w:spacing w:line="0" w:lineRule="atLeast"/>
              <w:jc w:val="left"/>
              <w:rPr>
                <w:rFonts w:hint="eastAsia" w:cs="Arial"/>
                <w:b/>
                <w:bCs/>
                <w:sz w:val="22"/>
                <w:szCs w:val="16"/>
                <w:highlight w:val="none"/>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highlight w:val="none"/>
                <w:lang w:val="en-US" w:eastAsia="zh-CN" w:bidi="ar-SA"/>
              </w:rPr>
            </w:pPr>
            <w:r>
              <w:rPr>
                <w:rFonts w:hint="eastAsia" w:cs="Times New Roman"/>
                <w:b w:val="0"/>
                <w:kern w:val="2"/>
                <w:sz w:val="22"/>
                <w:szCs w:val="22"/>
                <w:highlight w:val="none"/>
                <w:lang w:val="en-US" w:eastAsia="zh-CN" w:bidi="ar-SA"/>
              </w:rPr>
              <w:t>EMS</w:t>
            </w:r>
          </w:p>
        </w:tc>
        <w:tc>
          <w:tcPr>
            <w:tcW w:w="3676" w:type="dxa"/>
            <w:gridSpan w:val="3"/>
          </w:tcPr>
          <w:p>
            <w:pPr>
              <w:snapToGrid w:val="0"/>
              <w:spacing w:line="0" w:lineRule="atLeast"/>
              <w:jc w:val="left"/>
              <w:rPr>
                <w:rFonts w:hint="eastAsia"/>
                <w:sz w:val="21"/>
                <w:szCs w:val="16"/>
                <w:highlight w:val="none"/>
                <w:lang w:val="en-US" w:eastAsia="zh-CN"/>
              </w:rPr>
            </w:pPr>
            <w:r>
              <w:rPr>
                <w:rFonts w:hint="eastAsia"/>
                <w:sz w:val="21"/>
                <w:szCs w:val="16"/>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highlight w:val="none"/>
                <w:lang w:val="en-US" w:eastAsia="zh-CN" w:bidi="ar-SA"/>
              </w:rPr>
            </w:pPr>
            <w:r>
              <w:rPr>
                <w:sz w:val="22"/>
                <w:szCs w:val="16"/>
                <w:highlight w:val="none"/>
              </w:rPr>
              <w:fldChar w:fldCharType="begin"/>
            </w:r>
            <w:r>
              <w:rPr>
                <w:sz w:val="22"/>
                <w:szCs w:val="16"/>
                <w:highlight w:val="none"/>
                <w:lang w:val="en-GB" w:eastAsia="zh-CN"/>
              </w:rPr>
              <w:instrText xml:space="preserve"> STYLEREF TM_street \* MERGEFORMAT </w:instrText>
            </w:r>
            <w:r>
              <w:rPr>
                <w:sz w:val="22"/>
                <w:szCs w:val="16"/>
                <w:highlight w:val="none"/>
              </w:rPr>
              <w:fldChar w:fldCharType="separate"/>
            </w:r>
            <w:r>
              <w:rPr>
                <w:sz w:val="22"/>
                <w:szCs w:val="16"/>
                <w:highlight w:val="none"/>
              </w:rPr>
              <w:fldChar w:fldCharType="end"/>
            </w:r>
            <w:r>
              <w:rPr>
                <w:rFonts w:cs="Arial"/>
                <w:b/>
                <w:bCs/>
                <w:sz w:val="22"/>
                <w:szCs w:val="16"/>
                <w:highlight w:val="none"/>
                <w:lang w:val="en-US"/>
              </w:rPr>
              <w:t>Registration Address</w:t>
            </w:r>
            <w:r>
              <w:rPr>
                <w:rFonts w:hint="eastAsia" w:ascii="Times New Roman" w:hAnsi="Times New Roman" w:eastAsia="宋体" w:cs="Times New Roman"/>
                <w:b w:val="0"/>
                <w:kern w:val="2"/>
                <w:sz w:val="22"/>
                <w:szCs w:val="22"/>
                <w:highlight w:val="none"/>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highlight w:val="none"/>
                <w:lang w:val="en-US" w:eastAsia="zh-CN" w:bidi="ar-SA"/>
              </w:rPr>
            </w:pPr>
            <w:r>
              <w:rPr>
                <w:rFonts w:hint="eastAsia" w:cs="Arial"/>
                <w:b/>
                <w:bCs/>
                <w:sz w:val="22"/>
                <w:szCs w:val="16"/>
                <w:highlight w:val="none"/>
                <w:lang w:val="en-US" w:eastAsia="zh-CN"/>
              </w:rPr>
              <w:t>In Mawei Industrial Park, Dushan County, Qiannan Buyi and Miao Autonomous Prefecture, Guizhou Province,P.R.China</w:t>
            </w:r>
          </w:p>
        </w:tc>
        <w:tc>
          <w:tcPr>
            <w:tcW w:w="1337" w:type="dxa"/>
          </w:tcPr>
          <w:p>
            <w:pPr>
              <w:snapToGrid w:val="0"/>
              <w:spacing w:line="0" w:lineRule="atLeast"/>
              <w:jc w:val="left"/>
              <w:rPr>
                <w:rFonts w:hint="default" w:ascii="Times New Roman" w:hAnsi="Times New Roman" w:eastAsia="宋体" w:cs="Times New Roman"/>
                <w:b w:val="0"/>
                <w:kern w:val="2"/>
                <w:sz w:val="22"/>
                <w:szCs w:val="22"/>
                <w:highlight w:val="none"/>
                <w:lang w:val="en-US" w:eastAsia="zh-CN" w:bidi="ar-SA"/>
              </w:rPr>
            </w:pPr>
            <w:r>
              <w:rPr>
                <w:rFonts w:hint="eastAsia" w:cs="Times New Roman"/>
                <w:b w:val="0"/>
                <w:kern w:val="2"/>
                <w:sz w:val="22"/>
                <w:szCs w:val="22"/>
                <w:highlight w:val="none"/>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highlight w:val="none"/>
                <w:lang w:val="en-US" w:eastAsia="zh-CN" w:bidi="ar-SA"/>
              </w:rPr>
            </w:pPr>
            <w:r>
              <w:rPr>
                <w:rFonts w:hint="eastAsia" w:cs="Times New Roman"/>
                <w:b w:val="0"/>
                <w:kern w:val="2"/>
                <w:sz w:val="22"/>
                <w:szCs w:val="22"/>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highlight w:val="none"/>
              </w:rPr>
            </w:pPr>
          </w:p>
        </w:tc>
        <w:tc>
          <w:tcPr>
            <w:tcW w:w="3373" w:type="dxa"/>
            <w:vMerge w:val="continue"/>
          </w:tcPr>
          <w:p>
            <w:pPr>
              <w:snapToGrid w:val="0"/>
              <w:spacing w:line="0" w:lineRule="atLeast"/>
              <w:jc w:val="left"/>
              <w:rPr>
                <w:rFonts w:cs="Arial"/>
                <w:b/>
                <w:bCs/>
                <w:sz w:val="22"/>
                <w:szCs w:val="16"/>
                <w:highlight w:val="none"/>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highlight w:val="none"/>
                <w:lang w:val="en-US" w:eastAsia="zh-CN" w:bidi="ar-SA"/>
              </w:rPr>
            </w:pPr>
            <w:r>
              <w:rPr>
                <w:rFonts w:hint="eastAsia" w:cs="Times New Roman"/>
                <w:b w:val="0"/>
                <w:kern w:val="2"/>
                <w:sz w:val="22"/>
                <w:szCs w:val="22"/>
                <w:highlight w:val="none"/>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highlight w:val="none"/>
                <w:lang w:val="en-US" w:eastAsia="zh-CN" w:bidi="ar-SA"/>
              </w:rPr>
            </w:pPr>
            <w:r>
              <w:rPr>
                <w:rFonts w:hint="eastAsia" w:cs="Times New Roman"/>
                <w:b w:val="0"/>
                <w:kern w:val="2"/>
                <w:sz w:val="22"/>
                <w:szCs w:val="22"/>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highlight w:val="none"/>
                <w:lang w:val="en-GB" w:eastAsia="zh-CN" w:bidi="ar-SA"/>
              </w:rPr>
            </w:pPr>
            <w:r>
              <w:rPr>
                <w:rFonts w:cs="Arial"/>
                <w:b/>
                <w:bCs/>
                <w:sz w:val="22"/>
                <w:szCs w:val="16"/>
                <w:highlight w:val="none"/>
                <w:lang w:val="en-US"/>
              </w:rPr>
              <w:t>Operation Address</w:t>
            </w:r>
            <w:r>
              <w:rPr>
                <w:rFonts w:hint="eastAsia" w:cs="Times New Roman"/>
                <w:b w:val="0"/>
                <w:kern w:val="2"/>
                <w:sz w:val="22"/>
                <w:szCs w:val="22"/>
                <w:highlight w:val="none"/>
                <w:lang w:val="en-US" w:eastAsia="zh-CN" w:bidi="ar-SA"/>
              </w:rPr>
              <w:t>经营</w:t>
            </w:r>
            <w:r>
              <w:rPr>
                <w:rFonts w:hint="eastAsia" w:ascii="Times New Roman" w:hAnsi="Times New Roman" w:eastAsia="宋体" w:cs="Times New Roman"/>
                <w:b w:val="0"/>
                <w:kern w:val="2"/>
                <w:sz w:val="22"/>
                <w:szCs w:val="22"/>
                <w:highlight w:val="none"/>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highlight w:val="none"/>
                <w:lang w:val="en-US" w:eastAsia="zh-CN" w:bidi="ar-SA"/>
              </w:rPr>
            </w:pPr>
            <w:r>
              <w:rPr>
                <w:rFonts w:hint="eastAsia" w:cs="Arial"/>
                <w:b/>
                <w:bCs/>
                <w:sz w:val="22"/>
                <w:szCs w:val="16"/>
                <w:highlight w:val="none"/>
                <w:lang w:val="en-US" w:eastAsia="zh-CN"/>
              </w:rPr>
              <w:t>In Mawei Industrial Park, Dushan County, Qiannan Buyi and Miao Autonomous Prefecture, Guizhou Province, P.R.China</w:t>
            </w:r>
          </w:p>
        </w:tc>
        <w:tc>
          <w:tcPr>
            <w:tcW w:w="1337" w:type="dxa"/>
          </w:tcPr>
          <w:p>
            <w:pPr>
              <w:snapToGrid w:val="0"/>
              <w:spacing w:line="0" w:lineRule="atLeast"/>
              <w:jc w:val="left"/>
              <w:rPr>
                <w:rFonts w:hint="eastAsia" w:ascii="Times New Roman" w:hAnsi="Times New Roman" w:eastAsia="宋体" w:cs="Times New Roman"/>
                <w:b w:val="0"/>
                <w:kern w:val="2"/>
                <w:sz w:val="22"/>
                <w:szCs w:val="22"/>
                <w:highlight w:val="none"/>
                <w:lang w:val="en-US" w:eastAsia="zh-CN" w:bidi="ar-SA"/>
              </w:rPr>
            </w:pPr>
            <w:r>
              <w:rPr>
                <w:rFonts w:hint="eastAsia" w:cs="Times New Roman"/>
                <w:b w:val="0"/>
                <w:kern w:val="2"/>
                <w:sz w:val="22"/>
                <w:szCs w:val="22"/>
                <w:highlight w:val="none"/>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highlight w:val="none"/>
                <w:lang w:val="en-US" w:eastAsia="zh-CN" w:bidi="ar-SA"/>
              </w:rPr>
            </w:pPr>
            <w:r>
              <w:rPr>
                <w:rFonts w:hint="eastAsia" w:ascii="Times New Roman" w:hAnsi="Times New Roman" w:eastAsia="宋体" w:cs="Times New Roman"/>
                <w:b w:val="0"/>
                <w:kern w:val="2"/>
                <w:sz w:val="22"/>
                <w:szCs w:val="22"/>
                <w:highlight w:val="none"/>
                <w:lang w:val="en-US" w:eastAsia="zh-CN" w:bidi="ar-SA"/>
              </w:rPr>
              <w:t>The production of food additives (calcium carbonate [heavy calcium carbonate]) is located in the workshop of Qiannan Xinglong Biological Technology Co., LTD., Mawei Industrial Park, Dushan County, Qiannan Buyi and Miao Autonomous Prefecture, Guizhou Province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highlight w:val="none"/>
                <w:lang w:val="en-US"/>
              </w:rPr>
            </w:pPr>
          </w:p>
        </w:tc>
        <w:tc>
          <w:tcPr>
            <w:tcW w:w="3373" w:type="dxa"/>
            <w:vMerge w:val="continue"/>
          </w:tcPr>
          <w:p>
            <w:pPr>
              <w:snapToGrid w:val="0"/>
              <w:spacing w:line="0" w:lineRule="atLeast"/>
              <w:jc w:val="left"/>
              <w:rPr>
                <w:rFonts w:cs="Arial"/>
                <w:b/>
                <w:bCs/>
                <w:sz w:val="22"/>
                <w:szCs w:val="16"/>
                <w:highlight w:val="none"/>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highlight w:val="none"/>
                <w:lang w:val="en-US" w:eastAsia="zh-CN" w:bidi="ar-SA"/>
              </w:rPr>
            </w:pPr>
            <w:r>
              <w:rPr>
                <w:rFonts w:hint="eastAsia" w:cs="Times New Roman"/>
                <w:b w:val="0"/>
                <w:kern w:val="2"/>
                <w:sz w:val="22"/>
                <w:szCs w:val="22"/>
                <w:highlight w:val="none"/>
                <w:lang w:val="en-US" w:eastAsia="zh-CN" w:bidi="ar-SA"/>
              </w:rPr>
              <w:t>HACCP</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highlight w:val="none"/>
                <w:lang w:val="en-US" w:eastAsia="zh-CN" w:bidi="ar-SA"/>
              </w:rPr>
            </w:pPr>
            <w:r>
              <w:rPr>
                <w:rFonts w:hint="eastAsia" w:cs="Times New Roman"/>
                <w:b w:val="0"/>
                <w:kern w:val="2"/>
                <w:sz w:val="22"/>
                <w:szCs w:val="22"/>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pStyle w:val="2"/>
        <w:spacing w:line="0" w:lineRule="atLeast"/>
        <w:ind w:firstLine="0"/>
        <w:rPr>
          <w:rFonts w:hint="eastAsia"/>
          <w:b/>
          <w:color w:val="000000" w:themeColor="text1"/>
          <w:sz w:val="18"/>
          <w:szCs w:val="18"/>
          <w:lang w:val="en-GB" w:eastAsia="zh-CN"/>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4097" o:spid="_x0000_s4097"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14515F6"/>
    <w:rsid w:val="25A34C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1</TotalTime>
  <ScaleCrop>false</ScaleCrop>
  <LinksUpToDate>false</LinksUpToDate>
  <CharactersWithSpaces>1049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肖新龙</cp:lastModifiedBy>
  <cp:lastPrinted>2019-05-13T03:13:00Z</cp:lastPrinted>
  <dcterms:modified xsi:type="dcterms:W3CDTF">2021-10-18T08:57:15Z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2052-11.1.0.10938</vt:lpwstr>
  </property>
</Properties>
</file>