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1032-2021-F</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黔南兴隆生物科技有限公司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sym w:font="Wingdings 2" w:char="00A3"/>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4" w:name="F勾选"/>
      <w:r>
        <w:rPr>
          <w:rFonts w:hint="eastAsia"/>
          <w:sz w:val="28"/>
          <w:szCs w:val="28"/>
        </w:rPr>
        <w:t>■</w:t>
      </w:r>
      <w:bookmarkEnd w:id="4"/>
      <w:r>
        <w:rPr>
          <w:rFonts w:hint="eastAsia"/>
          <w:sz w:val="28"/>
          <w:szCs w:val="28"/>
        </w:rPr>
        <w:t>食品安全管理体系（FSMS）</w:t>
      </w:r>
    </w:p>
    <w:p>
      <w:pPr>
        <w:jc w:val="left"/>
        <w:rPr>
          <w:sz w:val="28"/>
          <w:szCs w:val="28"/>
        </w:rPr>
      </w:pPr>
      <w:r>
        <w:rPr>
          <w:rFonts w:hint="eastAsia"/>
          <w:sz w:val="28"/>
          <w:szCs w:val="28"/>
        </w:rPr>
        <w:sym w:font="Wingdings 2" w:char="00A3"/>
      </w:r>
      <w:r>
        <w:rPr>
          <w:rFonts w:hint="eastAsia"/>
          <w:sz w:val="28"/>
          <w:szCs w:val="28"/>
        </w:rPr>
        <w:t>危害分析与关键控制点管理体系（HACCP）</w:t>
      </w:r>
    </w:p>
    <w:p>
      <w:pPr>
        <w:pStyle w:val="15"/>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br w:type="page"/>
      </w:r>
    </w:p>
    <w:p>
      <w:pPr>
        <w:pStyle w:val="10"/>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939"/>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center"/>
          </w:tcPr>
          <w:p>
            <w:pPr>
              <w:rPr>
                <w:rFonts w:cs="Times New Roman" w:asciiTheme="minorEastAsia" w:hAnsiTheme="minorEastAsia" w:eastAsiaTheme="minorEastAsia"/>
                <w:kern w:val="2"/>
                <w:sz w:val="20"/>
                <w:szCs w:val="24"/>
                <w:lang w:val="en-US" w:eastAsia="zh-CN" w:bidi="ar-SA"/>
              </w:rPr>
            </w:pPr>
            <w:r>
              <w:rPr>
                <w:sz w:val="21"/>
                <w:szCs w:val="21"/>
              </w:rPr>
              <w:t>黔南兴隆生物科技有限公司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center"/>
          </w:tcPr>
          <w:p>
            <w:pPr>
              <w:rPr>
                <w:rFonts w:cs="Times New Roman" w:asciiTheme="minorEastAsia" w:hAnsiTheme="minorEastAsia" w:eastAsiaTheme="minorEastAsia"/>
                <w:kern w:val="2"/>
                <w:sz w:val="20"/>
                <w:szCs w:val="24"/>
                <w:lang w:val="en-US" w:eastAsia="zh-CN" w:bidi="ar-SA"/>
              </w:rPr>
            </w:pPr>
            <w:r>
              <w:rPr>
                <w:rFonts w:asciiTheme="minorEastAsia" w:hAnsiTheme="minorEastAsia" w:eastAsiaTheme="minorEastAsia"/>
                <w:sz w:val="20"/>
              </w:rPr>
              <w:t>贵州省黔南布依族苗族自治州独山县麻尾工业园区内</w:t>
            </w:r>
          </w:p>
        </w:tc>
        <w:tc>
          <w:tcPr>
            <w:tcW w:w="939"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tc>
        <w:tc>
          <w:tcPr>
            <w:tcW w:w="2074" w:type="dxa"/>
            <w:vAlign w:val="top"/>
          </w:tcPr>
          <w:p>
            <w:pPr>
              <w:spacing w:line="280" w:lineRule="exact"/>
              <w:rPr>
                <w:rFonts w:hint="eastAsia" w:ascii="宋体" w:hAnsi="Times New Roman" w:eastAsia="宋体" w:cs="Times New Roman"/>
                <w:b/>
                <w:color w:val="000000"/>
                <w:kern w:val="2"/>
                <w:sz w:val="21"/>
                <w:szCs w:val="21"/>
                <w:lang w:val="en-US" w:eastAsia="zh-CN" w:bidi="ar-SA"/>
              </w:rPr>
            </w:pPr>
            <w:r>
              <w:rPr>
                <w:rFonts w:hint="eastAsia" w:ascii="宋体"/>
                <w:b/>
                <w:color w:val="000000"/>
                <w:szCs w:val="21"/>
                <w:highlight w:val="none"/>
              </w:rPr>
              <w:t>558206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center"/>
          </w:tcPr>
          <w:p>
            <w:pPr>
              <w:rPr>
                <w:rFonts w:cs="Times New Roman" w:asciiTheme="minorEastAsia" w:hAnsiTheme="minorEastAsia" w:eastAsiaTheme="minorEastAsia"/>
                <w:kern w:val="2"/>
                <w:sz w:val="20"/>
                <w:szCs w:val="24"/>
                <w:lang w:val="en-US" w:eastAsia="zh-CN" w:bidi="ar-SA"/>
              </w:rPr>
            </w:pPr>
            <w:r>
              <w:rPr>
                <w:rFonts w:asciiTheme="minorEastAsia" w:hAnsiTheme="minorEastAsia" w:eastAsiaTheme="minorEastAsia"/>
                <w:sz w:val="20"/>
              </w:rPr>
              <w:t>贵州省黔南布依族苗族自治州独山县麻尾工业园区内</w:t>
            </w:r>
          </w:p>
        </w:tc>
        <w:tc>
          <w:tcPr>
            <w:tcW w:w="939" w:type="dxa"/>
            <w:vMerge w:val="continue"/>
            <w:vAlign w:val="center"/>
          </w:tcPr>
          <w:p/>
        </w:tc>
        <w:tc>
          <w:tcPr>
            <w:tcW w:w="2074" w:type="dxa"/>
            <w:vAlign w:val="top"/>
          </w:tcPr>
          <w:p>
            <w:pPr>
              <w:spacing w:line="280" w:lineRule="exact"/>
              <w:rPr>
                <w:rFonts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center"/>
          </w:tcPr>
          <w:p>
            <w:pPr>
              <w:rPr>
                <w:rFonts w:hint="eastAsia" w:ascii="Times New Roman" w:hAnsi="Times New Roman" w:eastAsia="宋体" w:cs="Times New Roman"/>
                <w:kern w:val="2"/>
                <w:sz w:val="21"/>
                <w:szCs w:val="21"/>
                <w:lang w:val="en-US" w:eastAsia="zh-CN" w:bidi="ar-SA"/>
              </w:rPr>
            </w:pPr>
            <w:r>
              <w:rPr>
                <w:sz w:val="21"/>
                <w:szCs w:val="21"/>
              </w:rPr>
              <w:t>陈天然</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sz w:val="21"/>
                <w:szCs w:val="21"/>
              </w:rPr>
              <w:t>15988359174</w:t>
            </w:r>
          </w:p>
        </w:tc>
        <w:tc>
          <w:tcPr>
            <w:tcW w:w="93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传真</w:t>
            </w:r>
          </w:p>
        </w:tc>
        <w:tc>
          <w:tcPr>
            <w:tcW w:w="2074" w:type="dxa"/>
            <w:vAlign w:val="top"/>
          </w:tcPr>
          <w:p>
            <w:pPr>
              <w:spacing w:line="280" w:lineRule="exact"/>
              <w:rPr>
                <w:rFonts w:hint="eastAsia" w:ascii="宋体" w:hAnsi="Times New Roman" w:eastAsia="宋体" w:cs="Times New Roman"/>
                <w:b/>
                <w:color w:val="000000"/>
                <w:kern w:val="2"/>
                <w:sz w:val="21"/>
                <w:szCs w:val="21"/>
                <w:lang w:val="en-US" w:eastAsia="zh-CN" w:bidi="ar-SA"/>
              </w:rPr>
            </w:pPr>
            <w:bookmarkStart w:id="5" w:name="联系人传真"/>
            <w:bookmarkEnd w:id="5"/>
            <w:r>
              <w:rPr>
                <w:rFonts w:hint="eastAsia" w:ascii="宋体" w:cs="Times New Roman"/>
                <w:b/>
                <w:color w:val="00000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69" w:type="dxa"/>
            <w:vAlign w:val="center"/>
          </w:tcPr>
          <w:p>
            <w:r>
              <w:rPr>
                <w:rFonts w:hint="eastAsia"/>
              </w:rPr>
              <w:t>法人代表</w:t>
            </w:r>
          </w:p>
        </w:tc>
        <w:tc>
          <w:tcPr>
            <w:tcW w:w="1552" w:type="dxa"/>
            <w:vAlign w:val="center"/>
          </w:tcPr>
          <w:p>
            <w:pPr>
              <w:jc w:val="center"/>
              <w:rPr>
                <w:rFonts w:hint="default" w:ascii="宋体" w:hAnsi="Times New Roman" w:eastAsia="宋体" w:cs="Times New Roman"/>
                <w:b/>
                <w:color w:val="000000"/>
                <w:kern w:val="2"/>
                <w:sz w:val="21"/>
                <w:szCs w:val="21"/>
                <w:lang w:val="en-US" w:eastAsia="zh-CN" w:bidi="ar-SA"/>
              </w:rPr>
            </w:pPr>
            <w:r>
              <w:rPr>
                <w:rFonts w:hint="eastAsia" w:ascii="宋体"/>
                <w:b/>
                <w:color w:val="000000"/>
                <w:szCs w:val="21"/>
              </w:rPr>
              <w:t>詹根松</w:t>
            </w:r>
          </w:p>
        </w:tc>
        <w:tc>
          <w:tcPr>
            <w:tcW w:w="1313" w:type="dxa"/>
            <w:vAlign w:val="center"/>
          </w:tcPr>
          <w:p>
            <w:pPr>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管理者代表</w:t>
            </w:r>
          </w:p>
        </w:tc>
        <w:tc>
          <w:tcPr>
            <w:tcW w:w="2180" w:type="dxa"/>
            <w:vAlign w:val="center"/>
          </w:tcPr>
          <w:p>
            <w:pPr>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Cs w:val="21"/>
                <w:lang w:val="en-US" w:eastAsia="zh-CN"/>
              </w:rPr>
              <w:t>陈天然</w:t>
            </w:r>
          </w:p>
        </w:tc>
        <w:tc>
          <w:tcPr>
            <w:tcW w:w="939" w:type="dxa"/>
            <w:vAlign w:val="top"/>
          </w:tcPr>
          <w:p>
            <w:pPr>
              <w:jc w:val="center"/>
              <w:rPr>
                <w:rFonts w:ascii="宋体" w:hAnsi="Times New Roman" w:eastAsia="宋体" w:cs="Times New Roman"/>
                <w:b/>
                <w:color w:val="000000"/>
                <w:kern w:val="2"/>
                <w:sz w:val="21"/>
                <w:szCs w:val="21"/>
                <w:lang w:val="en-US" w:eastAsia="zh-CN" w:bidi="ar-SA"/>
              </w:rPr>
            </w:pPr>
            <w:r>
              <w:rPr>
                <w:rFonts w:hint="eastAsia" w:ascii="宋体"/>
                <w:b/>
                <w:color w:val="000000"/>
                <w:szCs w:val="21"/>
              </w:rPr>
              <w:t>邮箱</w:t>
            </w:r>
          </w:p>
        </w:tc>
        <w:tc>
          <w:tcPr>
            <w:tcW w:w="2074" w:type="dxa"/>
            <w:vAlign w:val="center"/>
          </w:tcPr>
          <w:p>
            <w:pPr>
              <w:rPr>
                <w:rFonts w:ascii="宋体" w:hAnsi="Times New Roman" w:eastAsia="宋体" w:cs="Times New Roman"/>
                <w:b/>
                <w:color w:val="000000"/>
                <w:kern w:val="2"/>
                <w:sz w:val="21"/>
                <w:szCs w:val="21"/>
                <w:lang w:val="en-US" w:eastAsia="zh-CN" w:bidi="ar-SA"/>
              </w:rPr>
            </w:pPr>
            <w:bookmarkStart w:id="6" w:name="联系人邮箱"/>
            <w:r>
              <w:rPr>
                <w:sz w:val="21"/>
                <w:szCs w:val="21"/>
              </w:rPr>
              <w:t>chentianran@88.com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eastAsia"/>
                <w:highlight w:val="none"/>
                <w:lang w:val="en-US" w:eastAsia="zh-CN"/>
              </w:rPr>
            </w:pPr>
            <w:r>
              <w:rPr>
                <w:rFonts w:hint="eastAsia"/>
                <w:highlight w:val="none"/>
                <w:lang w:val="en-US" w:eastAsia="zh-CN"/>
              </w:rPr>
              <w:t>生产/服务流程图：</w:t>
            </w:r>
          </w:p>
          <w:p>
            <w:pPr>
              <w:numPr>
                <w:ilvl w:val="0"/>
                <w:numId w:val="1"/>
              </w:numPr>
              <w:spacing w:line="360" w:lineRule="auto"/>
              <w:rPr>
                <w:rFonts w:hint="eastAsia"/>
                <w:color w:val="000000"/>
              </w:rPr>
            </w:pPr>
            <w:r>
              <w:rPr>
                <w:rFonts w:hint="eastAsia"/>
                <w:color w:val="000000"/>
              </w:rPr>
              <w:t>重质碳酸钙生产工艺流程：</w:t>
            </w:r>
          </w:p>
          <w:p>
            <w:pPr>
              <w:spacing w:line="360" w:lineRule="auto"/>
              <w:ind w:left="210" w:leftChars="100" w:firstLine="0" w:firstLineChars="0"/>
            </w:pPr>
            <w:r>
              <w:rPr>
                <w:rFonts w:hint="eastAsia"/>
                <w:color w:val="000000"/>
              </w:rPr>
              <w:t>方解石采购验收→挑选、清洗、晾干（必要时）→投料→粗粉碎→粉磨→分级→灌装→检验入库；</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2655"/>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 xml:space="preserve">审核日期 </w:t>
            </w:r>
          </w:p>
        </w:tc>
        <w:tc>
          <w:tcPr>
            <w:tcW w:w="7831" w:type="dxa"/>
            <w:gridSpan w:val="3"/>
            <w:tcMar>
              <w:left w:w="113" w:type="dxa"/>
            </w:tcMar>
          </w:tcPr>
          <w:p>
            <w:pPr>
              <w:rPr>
                <w:rFonts w:hint="default" w:eastAsia="宋体"/>
                <w:lang w:val="en-US" w:eastAsia="zh-CN"/>
              </w:rPr>
            </w:pPr>
            <w:r>
              <w:rPr>
                <w:rFonts w:hint="eastAsia"/>
              </w:rPr>
              <w:t xml:space="preserve"> </w:t>
            </w:r>
            <w:bookmarkStart w:id="7" w:name="审核日期"/>
            <w:r>
              <w:rPr>
                <w:rFonts w:hint="eastAsia"/>
              </w:rPr>
              <w:t>2021年</w:t>
            </w:r>
            <w:r>
              <w:rPr>
                <w:rFonts w:hint="eastAsia"/>
                <w:lang w:val="en-US" w:eastAsia="zh-CN"/>
              </w:rPr>
              <w:t>10</w:t>
            </w:r>
            <w:r>
              <w:rPr>
                <w:rFonts w:hint="eastAsia"/>
              </w:rPr>
              <w:t>月</w:t>
            </w:r>
            <w:r>
              <w:rPr>
                <w:rFonts w:hint="eastAsia"/>
                <w:lang w:val="en-US" w:eastAsia="zh-CN"/>
              </w:rPr>
              <w:t>18</w:t>
            </w:r>
            <w:r>
              <w:rPr>
                <w:rFonts w:hint="eastAsia"/>
              </w:rPr>
              <w:t xml:space="preserve">日 </w:t>
            </w:r>
            <w:r>
              <w:rPr>
                <w:rFonts w:hint="eastAsia"/>
                <w:lang w:val="en-US" w:eastAsia="zh-CN"/>
              </w:rPr>
              <w:t>下午 13:30</w:t>
            </w:r>
            <w:r>
              <w:rPr>
                <w:rFonts w:hint="eastAsia"/>
              </w:rPr>
              <w:t>至2021年</w:t>
            </w:r>
            <w:r>
              <w:rPr>
                <w:rFonts w:hint="eastAsia"/>
                <w:lang w:val="en-US" w:eastAsia="zh-CN"/>
              </w:rPr>
              <w:t>10</w:t>
            </w:r>
            <w:r>
              <w:rPr>
                <w:rFonts w:hint="eastAsia"/>
              </w:rPr>
              <w:t>月</w:t>
            </w:r>
            <w:r>
              <w:rPr>
                <w:rFonts w:hint="eastAsia"/>
                <w:lang w:val="en-US" w:eastAsia="zh-CN"/>
              </w:rPr>
              <w:t>19</w:t>
            </w:r>
            <w:r>
              <w:rPr>
                <w:rFonts w:hint="eastAsia"/>
              </w:rPr>
              <w:t xml:space="preserve">日 </w:t>
            </w:r>
            <w:bookmarkEnd w:id="7"/>
            <w:r>
              <w:rPr>
                <w:rFonts w:hint="eastAsia"/>
                <w:lang w:val="en-US" w:eastAsia="zh-CN"/>
              </w:rPr>
              <w:t>中午12:00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8" w:name="初审"/>
            <w:r>
              <w:rPr>
                <w:rFonts w:hint="eastAsia"/>
              </w:rPr>
              <w:t>■</w:t>
            </w:r>
            <w:bookmarkEnd w:id="8"/>
            <w:r>
              <w:rPr>
                <w:rFonts w:hint="eastAsia"/>
              </w:rPr>
              <w:t>初审二阶段：评价组织管理体系建立、实施运行的符合性及有效性，以确定是否推荐认证注册。</w:t>
            </w:r>
          </w:p>
          <w:p>
            <w:bookmarkStart w:id="9" w:name="监督勾选"/>
            <w:r>
              <w:rPr>
                <w:rFonts w:hint="eastAsia"/>
              </w:rPr>
              <w:t>□</w:t>
            </w:r>
            <w:bookmarkEnd w:id="9"/>
            <w:r>
              <w:rPr>
                <w:rFonts w:hint="eastAsia"/>
              </w:rPr>
              <w:t>监督审核：评价组织管理体系的持续符合性和有效性，以确定是否推荐保持认证证书。</w:t>
            </w:r>
          </w:p>
          <w:p>
            <w:bookmarkStart w:id="10" w:name="再认证勾选"/>
            <w:r>
              <w:rPr>
                <w:rFonts w:hint="eastAsia"/>
              </w:rPr>
              <w:t>□</w:t>
            </w:r>
            <w:bookmarkEnd w:id="10"/>
            <w:r>
              <w:rPr>
                <w:rFonts w:hint="eastAsia"/>
              </w:rPr>
              <w:t>再认证：评价组织管理体系整体的持续符合性和有效性，以确定是否推荐更新认证并换发认证证书。</w:t>
            </w:r>
          </w:p>
          <w:p>
            <w:bookmarkStart w:id="11" w:name="扩项勾选"/>
            <w:r>
              <w:rPr>
                <w:rFonts w:hint="eastAsia"/>
              </w:rPr>
              <w:t>□</w:t>
            </w:r>
            <w:bookmarkEnd w:id="11"/>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19" w:hRule="exact"/>
        </w:trPr>
        <w:tc>
          <w:tcPr>
            <w:tcW w:w="1632" w:type="dxa"/>
          </w:tcPr>
          <w:p>
            <w:r>
              <w:rPr>
                <w:rFonts w:hint="eastAsia"/>
              </w:rPr>
              <w:t>审核准则</w:t>
            </w:r>
          </w:p>
          <w:p/>
        </w:tc>
        <w:tc>
          <w:tcPr>
            <w:tcW w:w="7831" w:type="dxa"/>
            <w:gridSpan w:val="3"/>
            <w:tcMar>
              <w:left w:w="113" w:type="dxa"/>
            </w:tcMar>
          </w:tcPr>
          <w:p>
            <w:bookmarkStart w:id="12" w:name="Q勾选Add1"/>
            <w:r>
              <w:rPr>
                <w:rFonts w:hint="eastAsia"/>
                <w:lang w:val="de-DE"/>
              </w:rPr>
              <w:t>□</w:t>
            </w:r>
            <w:bookmarkEnd w:id="12"/>
            <w:r>
              <w:rPr>
                <w:rFonts w:hint="eastAsia"/>
                <w:lang w:val="de-DE"/>
              </w:rPr>
              <w:t>GB/T19001-2016</w:t>
            </w:r>
            <w:r>
              <w:rPr>
                <w:rFonts w:hint="eastAsia"/>
              </w:rPr>
              <w:t xml:space="preserve">/ISO 9001:2015  </w:t>
            </w:r>
            <w:bookmarkStart w:id="13" w:name="QJ勾选"/>
            <w:r>
              <w:rPr>
                <w:rFonts w:hint="eastAsia"/>
                <w:lang w:val="de-DE"/>
              </w:rPr>
              <w:t>□</w:t>
            </w:r>
            <w:bookmarkEnd w:id="13"/>
            <w:r>
              <w:rPr>
                <w:rFonts w:hint="eastAsia"/>
                <w:lang w:val="de-DE"/>
              </w:rPr>
              <w:t>GB/T 50430-2017</w:t>
            </w:r>
            <w:r>
              <w:rPr>
                <w:rFonts w:hint="eastAsia"/>
              </w:rPr>
              <w:t xml:space="preserve">    </w:t>
            </w:r>
          </w:p>
          <w:p>
            <w:pPr>
              <w:rPr>
                <w:lang w:val="de-DE"/>
              </w:rPr>
            </w:pPr>
            <w:bookmarkStart w:id="14" w:name="E勾选Add1"/>
            <w:r>
              <w:rPr>
                <w:rFonts w:hint="eastAsia"/>
                <w:lang w:val="de-DE"/>
              </w:rPr>
              <w:t>□</w:t>
            </w:r>
            <w:bookmarkEnd w:id="14"/>
            <w:r>
              <w:rPr>
                <w:rFonts w:hint="eastAsia"/>
                <w:lang w:val="de-DE"/>
              </w:rPr>
              <w:t>GB/T24001-2016</w:t>
            </w:r>
            <w:r>
              <w:rPr>
                <w:rFonts w:hint="eastAsia"/>
              </w:rPr>
              <w:t xml:space="preserve">/ISO 14001:2015 </w:t>
            </w:r>
            <w:bookmarkStart w:id="15" w:name="S勾选Add1"/>
            <w:r>
              <w:rPr>
                <w:rFonts w:hint="eastAsia"/>
                <w:lang w:val="de-DE"/>
              </w:rPr>
              <w:t>□</w:t>
            </w:r>
            <w:bookmarkEnd w:id="15"/>
            <w:r>
              <w:rPr>
                <w:rFonts w:hint="eastAsia"/>
              </w:rPr>
              <w:t>GB/T 45001-2020/</w:t>
            </w:r>
            <w:r>
              <w:rPr>
                <w:rFonts w:hint="eastAsia"/>
                <w:lang w:val="de-DE"/>
              </w:rPr>
              <w:t>ISO45001：2018</w:t>
            </w:r>
          </w:p>
          <w:p>
            <w:pPr>
              <w:jc w:val="left"/>
              <w:rPr>
                <w:lang w:val="de-DE"/>
              </w:rPr>
            </w:pPr>
            <w:r>
              <w:rPr>
                <w:rFonts w:hint="eastAsia"/>
                <w:lang w:val="de-DE"/>
              </w:rPr>
              <w:t>FSMS：</w:t>
            </w:r>
            <w:bookmarkStart w:id="16" w:name="F勾选Add1"/>
            <w:r>
              <w:rPr>
                <w:rFonts w:hint="eastAsia"/>
                <w:lang w:val="de-DE"/>
              </w:rPr>
              <w:t>■</w:t>
            </w:r>
            <w:bookmarkEnd w:id="16"/>
            <w:r>
              <w:rPr>
                <w:rFonts w:hint="eastAsia"/>
                <w:lang w:val="de-DE"/>
              </w:rPr>
              <w:t>ISO</w:t>
            </w:r>
            <w:r>
              <w:rPr>
                <w:rFonts w:hint="eastAsia"/>
              </w:rPr>
              <w:t>22</w:t>
            </w:r>
            <w:r>
              <w:rPr>
                <w:rFonts w:hint="eastAsia"/>
                <w:lang w:val="de-DE"/>
              </w:rPr>
              <w:t>00</w:t>
            </w:r>
            <w:r>
              <w:rPr>
                <w:rFonts w:hint="eastAsia"/>
              </w:rPr>
              <w:t>0</w:t>
            </w:r>
            <w:r>
              <w:rPr>
                <w:rFonts w:hint="eastAsia"/>
                <w:lang w:val="de-DE"/>
              </w:rPr>
              <w:t>：2018</w:t>
            </w:r>
            <w:r>
              <w:rPr>
                <w:rFonts w:hint="eastAsia" w:ascii="宋体" w:hAnsi="宋体"/>
                <w:b/>
                <w:sz w:val="21"/>
                <w:szCs w:val="21"/>
              </w:rPr>
              <w:t xml:space="preserve">   </w:t>
            </w:r>
            <w:r>
              <w:rPr>
                <w:rFonts w:hint="eastAsia"/>
                <w:lang w:val="de-DE"/>
              </w:rPr>
              <w:t xml:space="preserve">             </w:t>
            </w:r>
          </w:p>
          <w:p>
            <w:pPr>
              <w:jc w:val="left"/>
              <w:rPr>
                <w:lang w:val="de-DE"/>
              </w:rPr>
            </w:pPr>
            <w:r>
              <w:rPr>
                <w:rFonts w:hint="eastAsia"/>
                <w:lang w:val="de-DE"/>
              </w:rPr>
              <w:t>HACCP：□ GB/T27341-2009</w:t>
            </w:r>
            <w:r>
              <w:rPr>
                <w:rFonts w:hint="eastAsia"/>
              </w:rPr>
              <w:t xml:space="preserve"> </w:t>
            </w:r>
            <w:r>
              <w:rPr>
                <w:rFonts w:hint="eastAsia"/>
                <w:lang w:val="de-DE"/>
              </w:rPr>
              <w:sym w:font="Wingdings 2" w:char="00A3"/>
            </w:r>
            <w:r>
              <w:rPr>
                <w:rFonts w:hint="eastAsia"/>
                <w:lang w:val="de-DE"/>
              </w:rPr>
              <w:t xml:space="preserve"> GB 14881-2013 </w:t>
            </w:r>
            <w:r>
              <w:rPr>
                <w:rFonts w:hint="eastAsia"/>
                <w:lang w:val="de-DE"/>
              </w:rPr>
              <w:sym w:font="Wingdings 2" w:char="00A3"/>
            </w:r>
            <w:r>
              <w:rPr>
                <w:rFonts w:hint="eastAsia"/>
                <w:lang w:val="de-DE"/>
              </w:rPr>
              <w:t>《危害分析与关键控制点（HACCP体系）认证补充要求 1.0》</w:t>
            </w:r>
          </w:p>
          <w:p>
            <w:pPr>
              <w:rPr>
                <w:rFonts w:hint="eastAsia"/>
              </w:rPr>
            </w:pPr>
            <w:r>
              <w:rPr>
                <w:rFonts w:hint="eastAsia"/>
                <w:lang w:val="de-DE"/>
              </w:rPr>
              <w:sym w:font="Wingdings 2" w:char="0052"/>
            </w:r>
            <w:r>
              <w:rPr>
                <w:rFonts w:hint="eastAsia"/>
                <w:lang w:val="de-DE"/>
              </w:rPr>
              <w:t>受审核方</w:t>
            </w:r>
            <w:r>
              <w:rPr>
                <w:rFonts w:hint="eastAsia"/>
              </w:rPr>
              <w:t xml:space="preserve">管理体系成文信息               </w:t>
            </w:r>
          </w:p>
          <w:p>
            <w:r>
              <w:rPr>
                <w:rFonts w:hint="eastAsia"/>
                <w:lang w:val="de-DE"/>
              </w:rPr>
              <w:sym w:font="Wingdings 2" w:char="0052"/>
            </w:r>
            <w:r>
              <w:rPr>
                <w:rFonts w:hint="eastAsia"/>
              </w:rPr>
              <w:t>顾客要求</w:t>
            </w:r>
          </w:p>
          <w:p>
            <w:pPr>
              <w:rPr>
                <w:rFonts w:hint="eastAsia"/>
              </w:rPr>
            </w:pPr>
            <w:r>
              <w:rPr>
                <w:rFonts w:hint="eastAsia"/>
                <w:lang w:val="de-DE"/>
              </w:rPr>
              <w:sym w:font="Wingdings 2" w:char="0052"/>
            </w:r>
            <w:r>
              <w:rPr>
                <w:rFonts w:hint="eastAsia"/>
                <w:lang w:val="de-DE"/>
              </w:rPr>
              <w:t>适用于受审核方的法律法规及其他要求</w:t>
            </w:r>
            <w:r>
              <w:rPr>
                <w:rFonts w:hint="eastAsia"/>
              </w:rPr>
              <w:t xml:space="preserve">     </w:t>
            </w:r>
          </w:p>
          <w:p>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 xml:space="preserve">单一体系审核    </w:t>
            </w:r>
            <w:r>
              <w:rPr>
                <w:rFonts w:hint="eastAsia"/>
              </w:rPr>
              <w:sym w:font="Wingdings 2" w:char="00A3"/>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17" w:name="二阶段勾选"/>
            <w:r>
              <w:rPr>
                <w:rFonts w:hint="eastAsia"/>
              </w:rPr>
              <w:t>■</w:t>
            </w:r>
            <w:bookmarkEnd w:id="17"/>
            <w:r>
              <w:rPr>
                <w:rFonts w:hint="eastAsia"/>
              </w:rPr>
              <w:t xml:space="preserve">初审二阶段  </w:t>
            </w:r>
            <w:bookmarkStart w:id="18" w:name="监督勾选Add1"/>
            <w:r>
              <w:rPr>
                <w:rFonts w:hint="eastAsia"/>
              </w:rPr>
              <w:t>□</w:t>
            </w:r>
            <w:bookmarkEnd w:id="18"/>
            <w:r>
              <w:rPr>
                <w:rFonts w:hint="eastAsia"/>
              </w:rPr>
              <w:t xml:space="preserve">监督 第 </w:t>
            </w:r>
            <w:bookmarkStart w:id="19" w:name="监督次数"/>
            <w:bookmarkEnd w:id="19"/>
            <w:r>
              <w:rPr>
                <w:rFonts w:hint="eastAsia"/>
              </w:rPr>
              <w:t xml:space="preserve"> 次监督审核  </w:t>
            </w:r>
            <w:bookmarkStart w:id="20" w:name="再认证勾选Add1"/>
            <w:r>
              <w:rPr>
                <w:rFonts w:hint="eastAsia"/>
              </w:rPr>
              <w:t>□</w:t>
            </w:r>
            <w:bookmarkEnd w:id="20"/>
            <w:r>
              <w:rPr>
                <w:rFonts w:hint="eastAsia"/>
              </w:rPr>
              <w:t xml:space="preserve">再认证 </w:t>
            </w:r>
            <w:bookmarkStart w:id="21" w:name="扩项勾选Add1"/>
            <w:r>
              <w:rPr>
                <w:rFonts w:hint="eastAsia"/>
              </w:rPr>
              <w:t>□</w:t>
            </w:r>
            <w:bookmarkEnd w:id="21"/>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3" w:hRule="exact"/>
        </w:trPr>
        <w:tc>
          <w:tcPr>
            <w:tcW w:w="1632" w:type="dxa"/>
          </w:tcPr>
          <w:p>
            <w:pPr>
              <w:rPr>
                <w:rFonts w:ascii="宋体"/>
                <w:b/>
                <w:color w:val="0000FF"/>
                <w:szCs w:val="21"/>
              </w:rPr>
            </w:pPr>
            <w:r>
              <w:rPr>
                <w:rFonts w:hint="eastAsia" w:ascii="宋体"/>
                <w:b/>
                <w:color w:val="0000FF"/>
                <w:szCs w:val="21"/>
              </w:rPr>
              <w:t>远程审核方式</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3" w:hRule="exact"/>
        </w:trPr>
        <w:tc>
          <w:tcPr>
            <w:tcW w:w="1632" w:type="dxa"/>
          </w:tcPr>
          <w:p>
            <w:pPr>
              <w:rPr>
                <w:rFonts w:ascii="宋体"/>
                <w:b/>
                <w:color w:val="0000FF"/>
                <w:szCs w:val="21"/>
              </w:rPr>
            </w:pPr>
            <w:r>
              <w:rPr>
                <w:rFonts w:hint="eastAsia" w:ascii="宋体"/>
                <w:b/>
                <w:color w:val="0000FF"/>
                <w:szCs w:val="21"/>
              </w:rPr>
              <w:t>信息安全的控制</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tc>
        <w:tc>
          <w:tcPr>
            <w:tcW w:w="5388" w:type="dxa"/>
            <w:gridSpan w:val="2"/>
            <w:vMerge w:val="restart"/>
            <w:vAlign w:val="center"/>
          </w:tcPr>
          <w:p>
            <w:bookmarkStart w:id="22" w:name="审核范围"/>
            <w:r>
              <w:rPr>
                <w:sz w:val="21"/>
                <w:szCs w:val="21"/>
              </w:rPr>
              <w:t>位于贵州省黔南布依族苗族自治州独山县麻尾工业园区内黔南兴隆生物科技有限公司生产车间的食品添加剂（</w:t>
            </w:r>
            <w:r>
              <w:rPr>
                <w:rFonts w:hint="eastAsia"/>
                <w:sz w:val="21"/>
                <w:szCs w:val="21"/>
                <w:lang w:val="en-US" w:eastAsia="zh-CN"/>
              </w:rPr>
              <w:t>碳酸钙【</w:t>
            </w:r>
            <w:r>
              <w:rPr>
                <w:sz w:val="21"/>
                <w:szCs w:val="21"/>
              </w:rPr>
              <w:t>重质碳酸钙</w:t>
            </w:r>
            <w:r>
              <w:rPr>
                <w:rFonts w:hint="eastAsia"/>
                <w:sz w:val="21"/>
                <w:szCs w:val="21"/>
                <w:lang w:val="en-US" w:eastAsia="zh-CN"/>
              </w:rPr>
              <w:t>】</w:t>
            </w:r>
            <w:r>
              <w:rPr>
                <w:sz w:val="21"/>
                <w:szCs w:val="21"/>
              </w:rPr>
              <w:t>）的生产</w:t>
            </w:r>
            <w:bookmarkEnd w:id="22"/>
          </w:p>
        </w:tc>
        <w:tc>
          <w:tcPr>
            <w:tcW w:w="244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32" w:type="dxa"/>
            <w:vMerge w:val="continue"/>
            <w:tcBorders>
              <w:bottom w:val="single" w:color="auto" w:sz="4" w:space="0"/>
            </w:tcBorders>
            <w:vAlign w:val="center"/>
          </w:tcPr>
          <w:p/>
        </w:tc>
        <w:tc>
          <w:tcPr>
            <w:tcW w:w="5388" w:type="dxa"/>
            <w:gridSpan w:val="2"/>
            <w:vMerge w:val="continue"/>
            <w:tcBorders>
              <w:bottom w:val="single" w:color="auto" w:sz="4" w:space="0"/>
            </w:tcBorders>
            <w:vAlign w:val="center"/>
          </w:tcPr>
          <w:p/>
        </w:tc>
        <w:tc>
          <w:tcPr>
            <w:tcW w:w="2443" w:type="dxa"/>
            <w:tcBorders>
              <w:bottom w:val="single" w:color="auto" w:sz="4" w:space="0"/>
            </w:tcBorders>
            <w:vAlign w:val="center"/>
          </w:tcPr>
          <w:p>
            <w:bookmarkStart w:id="23" w:name="专业代码"/>
            <w:r>
              <w:rPr>
                <w:sz w:val="20"/>
              </w:rPr>
              <w:t>K-1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pPr>
              <w:rPr>
                <w:rFonts w:hint="eastAsia" w:eastAsia="宋体"/>
                <w:lang w:eastAsia="zh-CN"/>
              </w:rPr>
            </w:pPr>
            <w:r>
              <w:rPr>
                <w:rFonts w:hint="eastAsia"/>
              </w:rPr>
              <w:t>不适用的理由（可多选）</w:t>
            </w:r>
            <w:r>
              <w:rPr>
                <w:rFonts w:hint="eastAsia"/>
                <w:lang w:eastAsia="zh-CN"/>
              </w:rPr>
              <w:t>（</w:t>
            </w:r>
            <w:r>
              <w:rPr>
                <w:rFonts w:hint="eastAsia"/>
                <w:lang w:val="en-US" w:eastAsia="zh-CN"/>
              </w:rPr>
              <w:t>不适用</w:t>
            </w:r>
            <w:r>
              <w:rPr>
                <w:rFonts w:hint="eastAsia"/>
                <w:lang w:eastAsia="zh-CN"/>
              </w:rPr>
              <w:t>）</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w:t>
            </w:r>
            <w:r>
              <w:rPr>
                <w:rFonts w:hint="eastAsia"/>
              </w:rPr>
              <w:t xml:space="preserve"> 年 </w:t>
            </w:r>
            <w:r>
              <w:rPr>
                <w:rFonts w:hint="eastAsia"/>
                <w:lang w:val="en-US" w:eastAsia="zh-CN"/>
              </w:rPr>
              <w:t>6</w:t>
            </w:r>
            <w:r>
              <w:rPr>
                <w:rFonts w:hint="eastAsia"/>
              </w:rPr>
              <w:t xml:space="preserve"> 月 </w:t>
            </w:r>
            <w:r>
              <w:rPr>
                <w:rFonts w:hint="eastAsia"/>
                <w:lang w:val="en-US" w:eastAsia="zh-CN"/>
              </w:rPr>
              <w:t>1</w:t>
            </w:r>
            <w:r>
              <w:rPr>
                <w:rFonts w:hint="eastAsia"/>
              </w:rPr>
              <w:t xml:space="preserve"> 日</w:t>
            </w:r>
          </w:p>
          <w:p/>
        </w:tc>
        <w:tc>
          <w:tcPr>
            <w:tcW w:w="2655" w:type="dxa"/>
            <w:vAlign w:val="center"/>
          </w:tcPr>
          <w:p>
            <w:r>
              <w:rPr>
                <w:rFonts w:hint="eastAsia"/>
              </w:rPr>
              <w:t>管理体系运行已超过3个月</w:t>
            </w:r>
          </w:p>
        </w:tc>
        <w:tc>
          <w:tcPr>
            <w:tcW w:w="2443"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pPr>
              <w:rPr>
                <w:rFonts w:hint="eastAsia" w:eastAsia="宋体"/>
                <w:lang w:eastAsia="zh-CN"/>
              </w:rPr>
            </w:pPr>
            <w:r>
              <w:rPr>
                <w:rFonts w:hint="eastAsia"/>
              </w:rPr>
              <w:t xml:space="preserve">     年    月     日</w:t>
            </w:r>
            <w:r>
              <w:rPr>
                <w:rFonts w:hint="eastAsia"/>
                <w:lang w:eastAsia="zh-CN"/>
              </w:rPr>
              <w:t>（</w:t>
            </w:r>
            <w:r>
              <w:rPr>
                <w:rFonts w:hint="eastAsia"/>
                <w:lang w:val="en-US" w:eastAsia="zh-CN"/>
              </w:rPr>
              <w:t>不适用</w:t>
            </w:r>
            <w:r>
              <w:rPr>
                <w:rFonts w:hint="eastAsia"/>
                <w:lang w:eastAsia="zh-CN"/>
              </w:rPr>
              <w:t>）</w:t>
            </w:r>
          </w:p>
        </w:tc>
        <w:tc>
          <w:tcPr>
            <w:tcW w:w="2655" w:type="dxa"/>
            <w:vAlign w:val="center"/>
          </w:tcPr>
          <w:p>
            <w:r>
              <w:rPr>
                <w:rFonts w:hint="eastAsia"/>
              </w:rPr>
              <w:t>认证证书有效期</w:t>
            </w:r>
          </w:p>
          <w:p>
            <w:r>
              <w:rPr>
                <w:rFonts w:hint="eastAsia"/>
              </w:rPr>
              <w:t>（初审除外）</w:t>
            </w:r>
          </w:p>
        </w:tc>
        <w:tc>
          <w:tcPr>
            <w:tcW w:w="2443"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pStyle w:val="5"/>
              <w:rPr>
                <w:sz w:val="21"/>
                <w:szCs w:val="21"/>
              </w:rPr>
            </w:pPr>
            <w:r>
              <w:rPr>
                <w:sz w:val="21"/>
                <w:szCs w:val="21"/>
              </w:rPr>
              <w:t>黔南兴隆生物科技有限公司</w:t>
            </w:r>
          </w:p>
          <w:p>
            <w:pPr>
              <w:pStyle w:val="5"/>
              <w:rPr>
                <w:sz w:val="21"/>
                <w:szCs w:val="21"/>
              </w:rPr>
            </w:pPr>
          </w:p>
          <w:p>
            <w:pPr>
              <w:pStyle w:val="5"/>
              <w:rPr>
                <w:rFonts w:ascii="Times New Roman" w:hAnsi="Times New Roman" w:eastAsia="宋体" w:cs="Times New Roman"/>
                <w:kern w:val="2"/>
                <w:sz w:val="18"/>
                <w:szCs w:val="18"/>
                <w:lang w:val="de-DE" w:eastAsia="ja-JP" w:bidi="ar-SA"/>
              </w:rPr>
            </w:pPr>
            <w:bookmarkStart w:id="24" w:name="注册地址"/>
            <w:r>
              <w:rPr>
                <w:rFonts w:asciiTheme="minorEastAsia" w:hAnsiTheme="minorEastAsia" w:eastAsiaTheme="minorEastAsia"/>
                <w:sz w:val="20"/>
              </w:rPr>
              <w:t>贵州省黔南布依族苗族自治州独山县麻尾工业园区内</w:t>
            </w:r>
            <w:bookmarkEnd w:id="24"/>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贵州省黔南布依族苗族自治州独山县麻尾工业园区内</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11</w:t>
            </w:r>
          </w:p>
        </w:tc>
        <w:tc>
          <w:tcPr>
            <w:tcW w:w="2803" w:type="dxa"/>
            <w:vAlign w:val="center"/>
          </w:tcPr>
          <w:p>
            <w:pPr>
              <w:pStyle w:val="24"/>
              <w:rPr>
                <w:rFonts w:ascii="Times New Roman" w:hAnsi="Times New Roman" w:eastAsia="黑体" w:cs="Arial"/>
                <w:kern w:val="2"/>
                <w:sz w:val="21"/>
                <w:szCs w:val="21"/>
                <w:lang w:val="en-US" w:eastAsia="ja-JP" w:bidi="ar-SA"/>
              </w:rPr>
            </w:pPr>
            <w:r>
              <w:rPr>
                <w:rFonts w:hint="eastAsia" w:eastAsia="宋体"/>
                <w:lang w:val="en-US" w:eastAsia="zh-CN"/>
              </w:rPr>
              <w:t>FSMS:</w:t>
            </w:r>
            <w:r>
              <w:rPr>
                <w:sz w:val="21"/>
                <w:szCs w:val="21"/>
              </w:rPr>
              <w:t>位于贵州省黔南布依族苗族自治州独山县麻尾工业园区内黔南兴隆生物科技有限公司生产车间的食品添加剂（</w:t>
            </w:r>
            <w:r>
              <w:rPr>
                <w:rFonts w:hint="eastAsia"/>
                <w:sz w:val="21"/>
                <w:szCs w:val="21"/>
                <w:lang w:val="en-US" w:eastAsia="zh-CN"/>
              </w:rPr>
              <w:t>碳酸钙【</w:t>
            </w:r>
            <w:r>
              <w:rPr>
                <w:sz w:val="21"/>
                <w:szCs w:val="21"/>
              </w:rPr>
              <w:t>重质碳酸钙</w:t>
            </w:r>
            <w:r>
              <w:rPr>
                <w:rFonts w:hint="eastAsia"/>
                <w:sz w:val="21"/>
                <w:szCs w:val="21"/>
                <w:lang w:val="en-US" w:eastAsia="zh-CN"/>
              </w:rPr>
              <w:t>】</w:t>
            </w:r>
            <w:r>
              <w:rPr>
                <w:sz w:val="21"/>
                <w:szCs w:val="21"/>
              </w:rPr>
              <w:t>）的生产</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rPr>
                <w:rFonts w:hint="default" w:eastAsia="宋体"/>
                <w:lang w:val="en-US" w:eastAsia="zh-CN"/>
              </w:rPr>
            </w:pPr>
            <w:r>
              <w:rPr>
                <w:rFonts w:hint="eastAsia"/>
              </w:rPr>
              <w:t xml:space="preserve">□减少场所  □扩大认证范围  □延长审核日期  □缩短审核日期 </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w:t>
            </w:r>
          </w:p>
        </w:tc>
        <w:tc>
          <w:tcPr>
            <w:tcW w:w="2179" w:type="dxa"/>
            <w:vAlign w:val="center"/>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48" w:type="dxa"/>
            <w:vAlign w:val="center"/>
          </w:tcPr>
          <w:p>
            <w:pPr>
              <w:rPr>
                <w:rFonts w:hint="eastAsia" w:eastAsia="宋体"/>
                <w:lang w:eastAsia="zh-CN"/>
              </w:rPr>
            </w:pPr>
            <w:r>
              <w:rPr>
                <w:rFonts w:hint="eastAsia"/>
                <w:lang w:val="en-US" w:eastAsia="zh-CN"/>
              </w:rPr>
              <w:t>任泽华</w:t>
            </w:r>
          </w:p>
        </w:tc>
        <w:tc>
          <w:tcPr>
            <w:tcW w:w="1089" w:type="dxa"/>
            <w:vAlign w:val="center"/>
          </w:tcPr>
          <w:p>
            <w:r>
              <w:t>组员</w:t>
            </w:r>
          </w:p>
        </w:tc>
        <w:tc>
          <w:tcPr>
            <w:tcW w:w="711" w:type="dxa"/>
            <w:vAlign w:val="center"/>
          </w:tcPr>
          <w:p>
            <w:r>
              <w:t>男</w:t>
            </w:r>
          </w:p>
        </w:tc>
        <w:tc>
          <w:tcPr>
            <w:tcW w:w="3870" w:type="dxa"/>
            <w:vAlign w:val="center"/>
          </w:tcPr>
          <w:p>
            <w:r>
              <w:rPr>
                <w:sz w:val="21"/>
                <w:szCs w:val="21"/>
              </w:rPr>
              <w:t>2020-N1FSMS-3059498</w:t>
            </w:r>
          </w:p>
        </w:tc>
        <w:tc>
          <w:tcPr>
            <w:tcW w:w="2179" w:type="dxa"/>
            <w:vAlign w:val="center"/>
          </w:tcPr>
          <w:p>
            <w:pPr>
              <w:rPr>
                <w:rFonts w:hint="default" w:eastAsia="宋体"/>
                <w:lang w:val="en-US" w:eastAsia="zh-CN"/>
              </w:rPr>
            </w:pPr>
            <w:r>
              <w:rPr>
                <w:rFonts w:hint="eastAsia"/>
                <w:lang w:val="en-US" w:eastAsia="zh-CN"/>
              </w:rPr>
              <w:t>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r>
        <w:rPr>
          <w:lang w:eastAsia="ja-JP"/>
        </w:rPr>
        <w:t xml:space="preserve"> </w:t>
      </w:r>
    </w:p>
    <w:p/>
    <w:p/>
    <w:p>
      <w:pPr>
        <w:rPr>
          <w:rFonts w:hint="eastAsia" w:eastAsia="宋体"/>
          <w:lang w:val="en-US" w:eastAsia="zh-CN"/>
        </w:rPr>
      </w:pPr>
      <w:r>
        <w:rPr>
          <w:rFonts w:hint="eastAsia"/>
        </w:rPr>
        <w:t xml:space="preserve">六、上次审核后发生的影响组织管理体系的重要变更（适用时） </w:t>
      </w:r>
      <w:r>
        <w:rPr>
          <w:rFonts w:hint="eastAsia"/>
          <w:lang w:val="en-US" w:eastAsia="zh-CN"/>
        </w:rPr>
        <w:t>不适用</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 xml:space="preserve">（见 □QMS □EcMS □EMS □OHSMS□EnMS </w:t>
      </w:r>
      <w:r>
        <w:rPr>
          <w:rFonts w:hint="eastAsia"/>
        </w:rPr>
        <w:sym w:font="Wingdings 2" w:char="0052"/>
      </w:r>
      <w:r>
        <w:rPr>
          <w:rFonts w:hint="eastAsia"/>
        </w:rPr>
        <w:t xml:space="preserve">FSMS </w:t>
      </w:r>
      <w:r>
        <w:rPr>
          <w:rFonts w:hint="eastAsia"/>
        </w:rPr>
        <w:sym w:font="Wingdings 2" w:char="00A3"/>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未发生重大食品安全事故、顾客/相关方的投诉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一阶段问题未整改完毕，见二阶段不符合项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rFonts w:hint="eastAsia" w:eastAsia="宋体"/>
                <w:highlight w:val="none"/>
                <w:lang w:val="en-US" w:eastAsia="zh-CN"/>
              </w:rPr>
            </w:pPr>
            <w:r>
              <w:rPr>
                <w:rFonts w:hint="eastAsia"/>
                <w:highlight w:val="none"/>
                <w:lang w:val="en-US" w:eastAsia="zh-CN"/>
              </w:rPr>
              <w:t>3</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3</w:t>
            </w:r>
          </w:p>
        </w:tc>
        <w:tc>
          <w:tcPr>
            <w:tcW w:w="2965" w:type="dxa"/>
          </w:tcPr>
          <w:p>
            <w:pPr>
              <w:rPr>
                <w:highlight w:val="none"/>
              </w:rPr>
            </w:pPr>
            <w:r>
              <w:rPr>
                <w:rFonts w:hint="eastAsia"/>
                <w:highlight w:val="none"/>
              </w:rPr>
              <w:sym w:font="Wingdings 2" w:char="0052"/>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val="en-US" w:eastAsia="zh-CN"/>
              </w:rPr>
            </w:pPr>
            <w:r>
              <w:rPr>
                <w:rFonts w:hint="eastAsia"/>
                <w:highlight w:val="none"/>
                <w:lang w:val="en-US" w:eastAsia="zh-CN"/>
              </w:rPr>
              <w:t>——</w:t>
            </w:r>
          </w:p>
        </w:tc>
        <w:tc>
          <w:tcPr>
            <w:tcW w:w="1717" w:type="dxa"/>
          </w:tcPr>
          <w:p>
            <w:pPr>
              <w:rPr>
                <w:rFonts w:hint="eastAsia" w:eastAsia="宋体"/>
                <w:highlight w:val="none"/>
                <w:lang w:val="en-US" w:eastAsia="zh-CN"/>
              </w:rPr>
            </w:pPr>
          </w:p>
        </w:tc>
        <w:tc>
          <w:tcPr>
            <w:tcW w:w="1560" w:type="dxa"/>
          </w:tcPr>
          <w:p>
            <w:pPr>
              <w:rPr>
                <w:rFonts w:hint="eastAsia" w:eastAsia="宋体"/>
                <w:highlight w:val="none"/>
                <w:lang w:val="en-US" w:eastAsia="zh-CN"/>
              </w:rPr>
            </w:pPr>
          </w:p>
        </w:tc>
        <w:tc>
          <w:tcPr>
            <w:tcW w:w="2965" w:type="dxa"/>
          </w:tcPr>
          <w:p>
            <w:pPr>
              <w:rPr>
                <w:highlight w:val="none"/>
              </w:rPr>
            </w:pPr>
            <w:r>
              <w:rPr>
                <w:rFonts w:hint="eastAsia"/>
                <w:highlight w:val="none"/>
              </w:rPr>
              <w:sym w:font="Wingdings 2" w:char="00A3"/>
            </w: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1"/>
        <w:tblpPr w:leftFromText="180" w:rightFromText="180" w:vertAnchor="text" w:horzAnchor="page" w:tblpX="1342" w:tblpY="120"/>
        <w:tblOverlap w:val="never"/>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970"/>
        <w:gridCol w:w="1721"/>
        <w:gridCol w:w="2310"/>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restart"/>
            <w:shd w:val="clear" w:color="auto" w:fill="auto"/>
          </w:tcPr>
          <w:p>
            <w:r>
              <w:rPr>
                <w:rFonts w:hint="eastAsia"/>
              </w:rPr>
              <w:t>管理体系评价</w:t>
            </w:r>
          </w:p>
        </w:tc>
        <w:tc>
          <w:tcPr>
            <w:tcW w:w="8350" w:type="dxa"/>
            <w:gridSpan w:val="4"/>
            <w:shd w:val="clear" w:color="auto" w:fill="auto"/>
          </w:tcPr>
          <w:p>
            <w:bookmarkStart w:id="25" w:name="Q勾选Add2"/>
            <w:r>
              <w:rPr>
                <w:rFonts w:hint="eastAsia"/>
              </w:rPr>
              <w:t>□</w:t>
            </w:r>
            <w:bookmarkEnd w:id="25"/>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bookmarkStart w:id="28" w:name="F勾选Add2"/>
            <w:r>
              <w:rPr>
                <w:rFonts w:hint="eastAsia"/>
              </w:rPr>
              <w:t>■</w:t>
            </w:r>
            <w:bookmarkEnd w:id="2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484"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84" w:type="dxa"/>
            <w:vMerge w:val="continue"/>
            <w:shd w:val="clear" w:color="auto" w:fill="auto"/>
          </w:tcPr>
          <w:p/>
        </w:tc>
        <w:tc>
          <w:tcPr>
            <w:tcW w:w="8350" w:type="dxa"/>
            <w:gridSpan w:val="4"/>
            <w:shd w:val="clear" w:color="auto" w:fill="auto"/>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84"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84"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4"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4"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4"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r>
              <w:rPr>
                <w:sz w:val="21"/>
                <w:szCs w:val="21"/>
              </w:rPr>
              <w:t>位于贵州省黔南布依族苗族自治州独山县麻尾工业园区内黔南兴隆生物科技有限公司生产车间的食品添加剂（</w:t>
            </w:r>
            <w:r>
              <w:rPr>
                <w:rFonts w:hint="eastAsia"/>
                <w:sz w:val="21"/>
                <w:szCs w:val="21"/>
                <w:lang w:val="en-US" w:eastAsia="zh-CN"/>
              </w:rPr>
              <w:t>碳酸钙【</w:t>
            </w:r>
            <w:r>
              <w:rPr>
                <w:sz w:val="21"/>
                <w:szCs w:val="21"/>
              </w:rPr>
              <w:t>重质碳酸钙</w:t>
            </w:r>
            <w:r>
              <w:rPr>
                <w:rFonts w:hint="eastAsia"/>
                <w:sz w:val="21"/>
                <w:szCs w:val="21"/>
                <w:lang w:val="en-US" w:eastAsia="zh-CN"/>
              </w:rPr>
              <w:t>】</w:t>
            </w:r>
            <w:r>
              <w:rPr>
                <w:sz w:val="21"/>
                <w:szCs w:val="21"/>
              </w:rPr>
              <w:t>）的生产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4"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pPr>
              <w:rPr>
                <w:rFonts w:hint="eastAsia" w:eastAsia="宋体"/>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84"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84"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84" w:type="dxa"/>
            <w:vMerge w:val="continue"/>
            <w:shd w:val="clear" w:color="auto" w:fill="auto"/>
          </w:tcPr>
          <w:p/>
        </w:tc>
        <w:tc>
          <w:tcPr>
            <w:tcW w:w="8350"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84" w:type="dxa"/>
            <w:vMerge w:val="continue"/>
            <w:shd w:val="clear" w:color="auto" w:fill="auto"/>
          </w:tcPr>
          <w:p/>
        </w:tc>
        <w:tc>
          <w:tcPr>
            <w:tcW w:w="8350"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84"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84"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84" w:type="dxa"/>
            <w:vMerge w:val="continue"/>
            <w:shd w:val="clear" w:color="auto" w:fill="auto"/>
          </w:tcPr>
          <w:p/>
        </w:tc>
        <w:tc>
          <w:tcPr>
            <w:tcW w:w="8350"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84" w:type="dxa"/>
            <w:vMerge w:val="continue"/>
            <w:shd w:val="clear" w:color="auto" w:fill="auto"/>
          </w:tcPr>
          <w:p/>
        </w:tc>
        <w:tc>
          <w:tcPr>
            <w:tcW w:w="8350"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834" w:type="dxa"/>
            <w:gridSpan w:val="5"/>
            <w:shd w:val="clear" w:color="auto" w:fill="auto"/>
          </w:tcPr>
          <w:p>
            <w:pPr>
              <w:rPr>
                <w:rFonts w:hint="default"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□中止审核  □终止审核  ☑延迟审核  □改为现场审核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rPr>
                <w:rFonts w:hint="eastAsia"/>
              </w:rPr>
            </w:pPr>
            <w:r>
              <w:rPr>
                <w:rFonts w:hint="eastAsia"/>
              </w:rPr>
              <w:t>□ 远程审核已达到审核目的，可以推荐注册/保持/再注册</w:t>
            </w:r>
          </w:p>
          <w:p>
            <w:pPr>
              <w:pStyle w:val="5"/>
              <w:rPr>
                <w:rFonts w:hint="eastAsia"/>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spacing w:line="360" w:lineRule="auto"/>
              <w:rPr>
                <w:rFonts w:hint="eastAsia"/>
                <w:b/>
                <w:bCs/>
                <w:color w:val="0000FF"/>
                <w:highlight w:val="yellow"/>
              </w:rPr>
            </w:pPr>
            <w:bookmarkStart w:id="29" w:name="_GoBack"/>
            <w:r>
              <w:rPr>
                <w:rFonts w:hint="eastAsia"/>
                <w:highlight w:val="none"/>
              </w:rPr>
              <w:t>审核组长签字</w:t>
            </w:r>
            <w:bookmarkEnd w:id="29"/>
          </w:p>
        </w:tc>
        <w:tc>
          <w:tcPr>
            <w:tcW w:w="2691" w:type="dxa"/>
            <w:gridSpan w:val="2"/>
            <w:shd w:val="clear" w:color="auto" w:fill="auto"/>
            <w:vAlign w:val="center"/>
          </w:tcPr>
          <w:p>
            <w:pPr>
              <w:pStyle w:val="5"/>
              <w:spacing w:line="360" w:lineRule="auto"/>
              <w:rPr>
                <w:rFonts w:hint="eastAsia" w:ascii="宋体" w:hAnsi="宋体"/>
                <w:b/>
                <w:color w:val="0000FF"/>
                <w:spacing w:val="-10"/>
                <w:szCs w:val="21"/>
                <w:highlight w:val="none"/>
              </w:rPr>
            </w:pPr>
          </w:p>
          <w:p>
            <w:pPr>
              <w:pStyle w:val="5"/>
              <w:spacing w:line="360" w:lineRule="auto"/>
              <w:rPr>
                <w:rFonts w:hint="eastAsia" w:ascii="宋体" w:hAnsi="宋体" w:eastAsia="宋体"/>
                <w:b/>
                <w:color w:val="0000FF"/>
                <w:spacing w:val="-10"/>
                <w:szCs w:val="21"/>
                <w:highlight w:val="none"/>
                <w:lang w:val="en-US" w:eastAsia="zh-CN"/>
              </w:rPr>
            </w:pPr>
            <w:r>
              <w:rPr>
                <w:rFonts w:hint="eastAsia" w:ascii="宋体" w:hAnsi="宋体" w:eastAsia="宋体"/>
                <w:b/>
                <w:color w:val="0000FF"/>
                <w:spacing w:val="-10"/>
                <w:szCs w:val="21"/>
                <w:highlight w:val="none"/>
                <w:lang w:val="en-US" w:eastAsia="zh-CN"/>
              </w:rPr>
              <w:drawing>
                <wp:inline distT="0" distB="0" distL="114300" distR="114300">
                  <wp:extent cx="590550" cy="323850"/>
                  <wp:effectExtent l="0" t="0" r="6350" b="6350"/>
                  <wp:docPr id="1" name="图片 1"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tc>
        <w:tc>
          <w:tcPr>
            <w:tcW w:w="2310" w:type="dxa"/>
            <w:shd w:val="clear" w:color="auto" w:fill="auto"/>
            <w:vAlign w:val="center"/>
          </w:tcPr>
          <w:p>
            <w:pPr>
              <w:pStyle w:val="5"/>
              <w:spacing w:line="360" w:lineRule="auto"/>
              <w:rPr>
                <w:rFonts w:hint="eastAsia" w:ascii="宋体" w:hAnsi="宋体"/>
                <w:b/>
                <w:color w:val="0000FF"/>
                <w:spacing w:val="-10"/>
                <w:szCs w:val="21"/>
                <w:highlight w:val="none"/>
              </w:rPr>
            </w:pPr>
            <w:r>
              <w:rPr>
                <w:rFonts w:hint="eastAsia"/>
                <w:highlight w:val="none"/>
              </w:rPr>
              <w:t>日期</w:t>
            </w:r>
          </w:p>
        </w:tc>
        <w:tc>
          <w:tcPr>
            <w:tcW w:w="3349" w:type="dxa"/>
            <w:shd w:val="clear" w:color="auto" w:fill="auto"/>
            <w:vAlign w:val="center"/>
          </w:tcPr>
          <w:p>
            <w:pPr>
              <w:pStyle w:val="5"/>
              <w:spacing w:line="360" w:lineRule="auto"/>
              <w:rPr>
                <w:rFonts w:hint="default" w:ascii="宋体" w:hAnsi="宋体" w:eastAsia="宋体"/>
                <w:b/>
                <w:color w:val="0000FF"/>
                <w:spacing w:val="-10"/>
                <w:szCs w:val="21"/>
                <w:highlight w:val="none"/>
                <w:lang w:val="en-US" w:eastAsia="zh-CN"/>
              </w:rPr>
            </w:pPr>
            <w:r>
              <w:rPr>
                <w:rFonts w:hint="eastAsia" w:ascii="宋体" w:hAnsi="宋体"/>
                <w:b/>
                <w:color w:val="auto"/>
                <w:spacing w:val="-10"/>
                <w:szCs w:val="21"/>
                <w:highlight w:val="none"/>
                <w:lang w:val="en-US" w:eastAsia="zh-CN"/>
              </w:rPr>
              <w:t>2021-11-04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pacing w:before="40" w:after="40"/>
        <w:rPr>
          <w:rFonts w:eastAsia="微软雅黑"/>
          <w:sz w:val="20"/>
          <w:szCs w:val="20"/>
        </w:rPr>
      </w:pPr>
    </w:p>
    <w:p>
      <w:pPr>
        <w:spacing w:before="40" w:after="40"/>
        <w:rPr>
          <w:rFonts w:eastAsia="微软雅黑"/>
          <w:sz w:val="20"/>
          <w:szCs w:val="20"/>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p>
      <w:pPr>
        <w:shd w:val="clear" w:color="auto" w:fill="F4B8FF"/>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A3"/>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sym w:font="Wingdings 2" w:char="0052"/>
            </w:r>
            <w:r>
              <w:rPr>
                <w:rFonts w:hint="eastAsia"/>
              </w:rPr>
              <w:t>特种设备管理 ☑控制措施组合确认  ☑PRP和危害控制措施的效果验证  □其他</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ascii="Segoe UI Symbol" w:hAnsi="Segoe UI Symbol" w:cs="Segoe UI Symbol"/>
              </w:rPr>
              <w:t>☑</w:t>
            </w:r>
            <w:r>
              <w:rPr>
                <w:rFonts w:hint="eastAsia"/>
              </w:rPr>
              <w:t xml:space="preserve">产品运输 </w:t>
            </w:r>
          </w:p>
          <w:p>
            <w:pPr>
              <w:shd w:val="clear" w:color="auto" w:fill="F4B8FF"/>
              <w:rPr>
                <w:rFonts w:hint="eastAsia"/>
                <w:lang w:val="en-US" w:eastAsia="zh-CN"/>
              </w:rPr>
            </w:pPr>
            <w:r>
              <w:rPr>
                <w:rFonts w:hint="eastAsia"/>
              </w:rPr>
              <w:t>□设备维修   □人员培训 □PRP和OPRP、HACCP验证</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无</w:t>
            </w:r>
          </w:p>
          <w:p>
            <w:pPr>
              <w:pStyle w:val="10"/>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widowControl/>
              <w:spacing w:before="40"/>
              <w:jc w:val="left"/>
              <w:rPr>
                <w:rFonts w:hint="default" w:eastAsia="宋体"/>
                <w:b/>
                <w:bCs/>
                <w:u w:val="single"/>
                <w:lang w:val="en-US" w:eastAsia="zh-CN"/>
              </w:rPr>
            </w:pPr>
            <w:r>
              <w:rPr>
                <w:rFonts w:hint="eastAsia"/>
                <w:b/>
                <w:bCs/>
                <w:u w:val="single"/>
                <w:lang w:val="en-US" w:eastAsia="zh-CN"/>
              </w:rPr>
              <w:t>生态安全、健康精品；不断改进，持续发展</w:t>
            </w: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陈天然</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A3"/>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val="en-US" w:eastAsia="zh-CN" w:bidi="ar"/>
                    </w:rPr>
                    <w:t>受食品链的后端影响较大，国家监管部门要求越来越严格</w:t>
                  </w:r>
                </w:p>
              </w:tc>
              <w:tc>
                <w:tcPr>
                  <w:tcW w:w="3965" w:type="dxa"/>
                  <w:vAlign w:val="top"/>
                </w:tcPr>
                <w:p>
                  <w:pPr>
                    <w:numPr>
                      <w:ilvl w:val="0"/>
                      <w:numId w:val="3"/>
                    </w:numPr>
                    <w:rPr>
                      <w:rFonts w:hint="default" w:eastAsia="宋体"/>
                      <w:highlight w:val="none"/>
                      <w:lang w:val="en-US" w:eastAsia="zh-CN"/>
                    </w:rPr>
                  </w:pPr>
                  <w:r>
                    <w:rPr>
                      <w:rFonts w:hint="eastAsia"/>
                      <w:highlight w:val="none"/>
                      <w:lang w:val="en-US" w:eastAsia="zh-CN"/>
                    </w:rPr>
                    <w:t>严格管控自有矿山品质；</w:t>
                  </w:r>
                </w:p>
                <w:p>
                  <w:pPr>
                    <w:numPr>
                      <w:ilvl w:val="0"/>
                      <w:numId w:val="3"/>
                    </w:numPr>
                    <w:rPr>
                      <w:rFonts w:hint="default" w:eastAsia="宋体"/>
                      <w:highlight w:val="none"/>
                      <w:lang w:val="en-US" w:eastAsia="zh-CN"/>
                    </w:rPr>
                  </w:pPr>
                  <w:r>
                    <w:rPr>
                      <w:rFonts w:hint="eastAsia"/>
                      <w:highlight w:val="none"/>
                      <w:lang w:val="en-US" w:eastAsia="zh-CN"/>
                    </w:rPr>
                    <w:t>及时了解上下游客户的需求及行业动态；</w:t>
                  </w:r>
                </w:p>
                <w:p>
                  <w:pPr>
                    <w:numPr>
                      <w:ilvl w:val="0"/>
                      <w:numId w:val="3"/>
                    </w:numPr>
                    <w:rPr>
                      <w:rFonts w:hint="default"/>
                      <w:lang w:val="en-US" w:eastAsia="zh-CN"/>
                    </w:rPr>
                  </w:pPr>
                  <w:r>
                    <w:rPr>
                      <w:rFonts w:hint="eastAsia"/>
                      <w:highlight w:val="none"/>
                      <w:lang w:val="en-US" w:eastAsia="zh-CN"/>
                    </w:rPr>
                    <w:t>定期查询法律法规变化情况</w:t>
                  </w:r>
                </w:p>
                <w:p>
                  <w:pPr>
                    <w:numPr>
                      <w:ilvl w:val="0"/>
                      <w:numId w:val="0"/>
                    </w:numPr>
                    <w:ind w:left="0" w:leftChars="0" w:firstLine="0" w:firstLineChars="0"/>
                    <w:rPr>
                      <w:rFonts w:hint="default" w:ascii="Times New Roman" w:hAnsi="Times New Roman" w:eastAsia="宋体" w:cs="Times New Roman"/>
                      <w:kern w:val="2"/>
                      <w:sz w:val="21"/>
                      <w:szCs w:val="24"/>
                      <w:highlight w:val="none"/>
                      <w:lang w:val="en-US" w:eastAsia="zh-CN" w:bidi="ar-SA"/>
                    </w:rPr>
                  </w:pP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p>
              </w:tc>
              <w:tc>
                <w:tcPr>
                  <w:tcW w:w="3965" w:type="dxa"/>
                  <w:vAlign w:val="top"/>
                </w:tcPr>
                <w:p>
                  <w:pPr>
                    <w:numPr>
                      <w:ilvl w:val="0"/>
                      <w:numId w:val="0"/>
                    </w:numPr>
                    <w:ind w:left="0" w:leftChars="0" w:firstLine="0" w:firstLineChars="0"/>
                    <w:rPr>
                      <w:rFonts w:hint="default" w:ascii="Times New Roman" w:hAnsi="Times New Roman" w:eastAsia="宋体" w:cs="Times New Roman"/>
                      <w:kern w:val="2"/>
                      <w:sz w:val="21"/>
                      <w:szCs w:val="24"/>
                      <w:highlight w:val="none"/>
                      <w:lang w:val="en-US" w:eastAsia="zh-CN" w:bidi="ar-SA"/>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eastAsia"/>
                      <w:highlight w:val="none"/>
                      <w:lang w:val="en-US" w:eastAsia="zh-CN"/>
                    </w:rPr>
                  </w:pPr>
                </w:p>
              </w:tc>
              <w:tc>
                <w:tcPr>
                  <w:tcW w:w="3965" w:type="dxa"/>
                  <w:vAlign w:val="top"/>
                </w:tcPr>
                <w:p>
                  <w:pPr>
                    <w:numPr>
                      <w:ilvl w:val="0"/>
                      <w:numId w:val="0"/>
                    </w:numPr>
                    <w:rPr>
                      <w:rFonts w:hint="eastAsia"/>
                      <w:highlight w:val="none"/>
                      <w:lang w:val="en-US" w:eastAsia="zh-CN"/>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ind w:left="0" w:leftChars="0" w:firstLine="0" w:firstLineChars="0"/>
                    <w:rPr>
                      <w:rFonts w:hint="default" w:ascii="Times New Roman" w:hAnsi="Times New Roman" w:eastAsia="宋体" w:cs="Times New Roman"/>
                      <w:kern w:val="2"/>
                      <w:sz w:val="21"/>
                      <w:szCs w:val="21"/>
                      <w:highlight w:val="none"/>
                      <w:lang w:val="en-US" w:eastAsia="zh-CN" w:bidi="ar-SA"/>
                    </w:rPr>
                  </w:pPr>
                  <w:r>
                    <w:rPr>
                      <w:rFonts w:hint="eastAsia"/>
                      <w:lang w:val="en-US" w:eastAsia="zh-CN"/>
                    </w:rPr>
                    <w:t>自有矿山，老客户资源较为稳定，通过建立食品安全管理体系提升产品质量及安全性，更多的赢得新客户</w:t>
                  </w:r>
                </w:p>
              </w:tc>
              <w:tc>
                <w:tcPr>
                  <w:tcW w:w="3965" w:type="dxa"/>
                  <w:vAlign w:val="top"/>
                </w:tcPr>
                <w:p>
                  <w:pPr>
                    <w:pStyle w:val="5"/>
                    <w:numPr>
                      <w:ilvl w:val="0"/>
                      <w:numId w:val="4"/>
                    </w:numPr>
                    <w:ind w:left="0" w:leftChars="0" w:firstLine="0" w:firstLineChars="0"/>
                    <w:rPr>
                      <w:rFonts w:hint="default" w:eastAsia="宋体"/>
                      <w:sz w:val="21"/>
                      <w:szCs w:val="21"/>
                      <w:highlight w:val="none"/>
                      <w:lang w:val="en-US" w:eastAsia="zh-CN"/>
                    </w:rPr>
                  </w:pPr>
                  <w:r>
                    <w:rPr>
                      <w:rFonts w:hint="eastAsia"/>
                      <w:sz w:val="21"/>
                      <w:szCs w:val="21"/>
                      <w:highlight w:val="none"/>
                      <w:lang w:val="en-US" w:eastAsia="zh-CN"/>
                    </w:rPr>
                    <w:t>加强对原料矿山的管理；</w:t>
                  </w:r>
                </w:p>
                <w:p>
                  <w:pPr>
                    <w:pStyle w:val="5"/>
                    <w:numPr>
                      <w:ilvl w:val="0"/>
                      <w:numId w:val="4"/>
                    </w:numPr>
                    <w:ind w:left="0" w:leftChars="0" w:firstLine="0" w:firstLineChars="0"/>
                    <w:rPr>
                      <w:rFonts w:hint="default" w:eastAsia="宋体"/>
                      <w:sz w:val="21"/>
                      <w:szCs w:val="21"/>
                      <w:highlight w:val="none"/>
                      <w:lang w:val="en-US" w:eastAsia="zh-CN"/>
                    </w:rPr>
                  </w:pPr>
                  <w:r>
                    <w:rPr>
                      <w:rFonts w:hint="eastAsia"/>
                      <w:sz w:val="21"/>
                      <w:szCs w:val="21"/>
                      <w:highlight w:val="none"/>
                      <w:lang w:val="en-US" w:eastAsia="zh-CN"/>
                    </w:rPr>
                    <w:t>通过建立管理体系，规范化管理；</w:t>
                  </w:r>
                </w:p>
                <w:p>
                  <w:pPr>
                    <w:pStyle w:val="5"/>
                    <w:numPr>
                      <w:ilvl w:val="0"/>
                      <w:numId w:val="4"/>
                    </w:numPr>
                    <w:ind w:left="0" w:leftChars="0" w:firstLine="0" w:firstLineChars="0"/>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开辟市场，赢得新客户</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tbl>
            <w:tblPr>
              <w:tblStyle w:val="11"/>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134"/>
              <w:gridCol w:w="2546"/>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食品安全目标</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考核频次</w:t>
                  </w:r>
                </w:p>
              </w:tc>
              <w:tc>
                <w:tcPr>
                  <w:tcW w:w="2546"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计算方法</w:t>
                  </w:r>
                </w:p>
              </w:tc>
              <w:tc>
                <w:tcPr>
                  <w:tcW w:w="260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目标实际完成</w:t>
                  </w:r>
                </w:p>
                <w:p>
                  <w:pPr>
                    <w:pStyle w:val="10"/>
                    <w:ind w:left="0" w:firstLine="0" w:firstLineChars="0"/>
                  </w:pPr>
                  <w:r>
                    <w:rPr>
                      <w:rFonts w:hint="eastAsia" w:asciiTheme="minorEastAsia" w:hAnsiTheme="minorEastAsia" w:eastAsiaTheme="minorEastAsia"/>
                      <w:szCs w:val="21"/>
                    </w:rPr>
                    <w:t>（2021年</w:t>
                  </w:r>
                  <w:r>
                    <w:rPr>
                      <w:rFonts w:hint="eastAsia" w:asciiTheme="minorEastAsia" w:hAnsiTheme="minorEastAsia" w:eastAsiaTheme="minorEastAsia"/>
                      <w:szCs w:val="21"/>
                      <w:lang w:val="en-US" w:eastAsia="zh-CN"/>
                    </w:rPr>
                    <w:t>6</w:t>
                  </w:r>
                  <w:r>
                    <w:rPr>
                      <w:rFonts w:hint="default" w:ascii="Times New Roman" w:hAnsi="Times New Roman" w:cs="Times New Roman"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月</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top"/>
                </w:tcPr>
                <w:p>
                  <w:pPr>
                    <w:spacing w:line="400" w:lineRule="exact"/>
                    <w:rPr>
                      <w:rFonts w:hint="eastAsia" w:ascii="Times New Roman" w:hAnsi="Times New Roman" w:eastAsia="宋体" w:cs="Times New Roman"/>
                      <w:kern w:val="2"/>
                      <w:sz w:val="21"/>
                      <w:szCs w:val="21"/>
                      <w:lang w:val="en-US" w:eastAsia="zh-CN" w:bidi="ar-SA"/>
                    </w:rPr>
                  </w:pPr>
                  <w:r>
                    <w:rPr>
                      <w:rFonts w:hint="eastAsia" w:ascii="宋体" w:hAnsi="宋体" w:cs="宋体"/>
                      <w:sz w:val="21"/>
                      <w:szCs w:val="21"/>
                    </w:rPr>
                    <w:t>市场监管部门抽检合格率100%</w:t>
                  </w:r>
                </w:p>
              </w:tc>
              <w:tc>
                <w:tcPr>
                  <w:tcW w:w="1134"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rPr>
                    <w:t>半年</w:t>
                  </w:r>
                </w:p>
              </w:tc>
              <w:tc>
                <w:tcPr>
                  <w:tcW w:w="2546"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rPr>
                    <w:t>抽检合格次数/抽检次数</w:t>
                  </w:r>
                  <w:r>
                    <w:rPr>
                      <w:rFonts w:hint="eastAsia"/>
                      <w:sz w:val="21"/>
                      <w:szCs w:val="21"/>
                    </w:rPr>
                    <w:t>×100%</w:t>
                  </w:r>
                </w:p>
              </w:tc>
              <w:tc>
                <w:tcPr>
                  <w:tcW w:w="260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top"/>
                </w:tcPr>
                <w:p>
                  <w:pPr>
                    <w:spacing w:line="400" w:lineRule="exact"/>
                    <w:rPr>
                      <w:rFonts w:hint="eastAsia" w:ascii="Times New Roman" w:hAnsi="Times New Roman" w:eastAsia="宋体" w:cs="Times New Roman"/>
                      <w:kern w:val="2"/>
                      <w:sz w:val="21"/>
                      <w:szCs w:val="21"/>
                      <w:lang w:val="en-US" w:eastAsia="zh-CN" w:bidi="ar-SA"/>
                    </w:rPr>
                  </w:pPr>
                  <w:r>
                    <w:rPr>
                      <w:rFonts w:hint="eastAsia" w:ascii="宋体" w:hAnsi="宋体" w:cs="宋体"/>
                      <w:sz w:val="21"/>
                      <w:szCs w:val="21"/>
                    </w:rPr>
                    <w:t>食品安全投诉率低于1%</w:t>
                  </w:r>
                </w:p>
              </w:tc>
              <w:tc>
                <w:tcPr>
                  <w:tcW w:w="113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半年</w:t>
                  </w:r>
                </w:p>
              </w:tc>
              <w:tc>
                <w:tcPr>
                  <w:tcW w:w="254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sz w:val="21"/>
                      <w:szCs w:val="21"/>
                    </w:rPr>
                    <w:t>投诉次数/销售批次×100%</w:t>
                  </w:r>
                </w:p>
              </w:tc>
              <w:tc>
                <w:tcPr>
                  <w:tcW w:w="260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top"/>
                </w:tcPr>
                <w:p>
                  <w:pPr>
                    <w:spacing w:line="48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rPr>
                    <w:t>食品安全事故为0</w:t>
                  </w:r>
                </w:p>
              </w:tc>
              <w:tc>
                <w:tcPr>
                  <w:tcW w:w="113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半年</w:t>
                  </w:r>
                </w:p>
              </w:tc>
              <w:tc>
                <w:tcPr>
                  <w:tcW w:w="254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按照实际发生次数</w:t>
                  </w:r>
                </w:p>
              </w:tc>
              <w:tc>
                <w:tcPr>
                  <w:tcW w:w="260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体系建立以来未发生</w:t>
                  </w:r>
                </w:p>
              </w:tc>
            </w:tr>
          </w:tbl>
          <w:p>
            <w:pPr>
              <w:pStyle w:val="10"/>
              <w:rPr>
                <w:rFonts w:hint="eastAsia"/>
              </w:rPr>
            </w:pPr>
          </w:p>
          <w:p>
            <w:pPr>
              <w:shd w:val="clear" w:color="auto" w:fill="F4B8FF"/>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u w:val="single"/>
                <w:lang w:val="en-US" w:eastAsia="zh-CN"/>
              </w:rPr>
              <w:t>在实施中</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rPr>
                <w:rFonts w:hint="eastAsia" w:eastAsia="宋体"/>
                <w:lang w:eastAsia="zh-CN"/>
              </w:rPr>
            </w:pPr>
            <w:r>
              <w:rPr>
                <w:rFonts w:hint="eastAsia"/>
                <w:highlight w:val="none"/>
              </w:rPr>
              <w:t>建筑面积</w:t>
            </w:r>
            <w:r>
              <w:rPr>
                <w:rFonts w:hint="eastAsia"/>
                <w:highlight w:val="none"/>
                <w:u w:val="single"/>
              </w:rPr>
              <w:t xml:space="preserve"> </w:t>
            </w:r>
            <w:r>
              <w:rPr>
                <w:highlight w:val="none"/>
                <w:u w:val="single"/>
              </w:rPr>
              <w:t xml:space="preserve"> </w:t>
            </w:r>
            <w:r>
              <w:rPr>
                <w:rFonts w:hint="eastAsia"/>
                <w:highlight w:val="none"/>
                <w:u w:val="single"/>
                <w:lang w:val="en-US" w:eastAsia="zh-CN"/>
              </w:rPr>
              <w:t xml:space="preserve">40亩 </w:t>
            </w:r>
            <w:r>
              <w:rPr>
                <w:highlight w:val="none"/>
                <w:u w:val="single"/>
              </w:rPr>
              <w:t xml:space="preserve"> </w:t>
            </w:r>
            <w:r>
              <w:rPr>
                <w:rFonts w:hint="eastAsia"/>
                <w:highlight w:val="none"/>
                <w:lang w:val="en-US" w:eastAsia="zh-CN"/>
              </w:rPr>
              <w:t xml:space="preserve"> </w:t>
            </w:r>
            <w:r>
              <w:rPr>
                <w:rFonts w:hint="eastAsia"/>
                <w:highlight w:val="none"/>
              </w:rPr>
              <w:t>；</w:t>
            </w:r>
            <w:r>
              <w:rPr>
                <w:rFonts w:hint="eastAsia"/>
                <w:lang w:val="en-US" w:eastAsia="zh-CN"/>
              </w:rPr>
              <w:t>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 xml:space="preserve">检验室 </w:t>
            </w:r>
            <w:r>
              <w:rPr>
                <w:rFonts w:hint="eastAsia"/>
                <w:u w:val="single"/>
                <w:lang w:val="en-US" w:eastAsia="zh-CN"/>
              </w:rPr>
              <w:t xml:space="preserve">2 </w:t>
            </w:r>
            <w:r>
              <w:rPr>
                <w:rFonts w:hint="eastAsia"/>
              </w:rPr>
              <w:t>个；</w:t>
            </w:r>
            <w:r>
              <w:rPr>
                <w:rFonts w:hint="eastAsia"/>
                <w:lang w:val="en-US" w:eastAsia="zh-CN"/>
              </w:rPr>
              <w:t>仓库</w:t>
            </w:r>
            <w:r>
              <w:rPr>
                <w:rFonts w:hint="eastAsia"/>
                <w:u w:val="single"/>
              </w:rPr>
              <w:t xml:space="preserve"> </w:t>
            </w:r>
            <w:r>
              <w:rPr>
                <w:rFonts w:hint="eastAsia"/>
                <w:u w:val="single"/>
                <w:lang w:val="en-US" w:eastAsia="zh-CN"/>
              </w:rPr>
              <w:t>1</w:t>
            </w:r>
            <w:r>
              <w:rPr>
                <w:rFonts w:hint="eastAsia"/>
              </w:rPr>
              <w:t>个</w:t>
            </w:r>
            <w:r>
              <w:rPr>
                <w:rFonts w:hint="eastAsia"/>
                <w:lang w:eastAsia="zh-CN"/>
              </w:rPr>
              <w:t>；</w:t>
            </w:r>
          </w:p>
          <w:p>
            <w:pPr>
              <w:rPr>
                <w:rFonts w:hint="eastAsia"/>
                <w:u w:val="single"/>
              </w:rPr>
            </w:pPr>
            <w:r>
              <w:rPr>
                <w:rFonts w:hint="eastAsia"/>
              </w:rPr>
              <w:t>主要设备有：</w:t>
            </w:r>
            <w:r>
              <w:rPr>
                <w:rFonts w:hint="eastAsia"/>
                <w:u w:val="single"/>
              </w:rPr>
              <w:t xml:space="preserve"> </w:t>
            </w:r>
            <w:r>
              <w:rPr>
                <w:rFonts w:hint="eastAsia"/>
                <w:u w:val="single"/>
                <w:lang w:val="en-US" w:eastAsia="zh-CN"/>
              </w:rPr>
              <w:t>粉碎机、分级机、环辊磨等</w:t>
            </w:r>
            <w:r>
              <w:rPr>
                <w:rFonts w:hint="eastAsia"/>
                <w:u w:val="single"/>
              </w:rPr>
              <w:t>（列举2~4种）</w:t>
            </w:r>
          </w:p>
          <w:p>
            <w:pPr>
              <w:pStyle w:val="5"/>
              <w:rPr>
                <w:rFonts w:hint="eastAsia"/>
                <w:u w:val="single"/>
              </w:rPr>
            </w:pPr>
          </w:p>
          <w:p>
            <w:pPr>
              <w:shd w:val="clear" w:color="auto" w:fill="F4B8FF"/>
            </w:pPr>
            <w:r>
              <w:rPr>
                <w:rFonts w:hint="eastAsia"/>
              </w:rPr>
              <w:t>特种设备：</w:t>
            </w:r>
            <w:r>
              <w:rPr>
                <w:rFonts w:hint="eastAsia"/>
              </w:rPr>
              <w:sym w:font="Wingdings 2" w:char="0052"/>
            </w:r>
            <w:r>
              <w:rPr>
                <w:rFonts w:hint="eastAsia"/>
              </w:rPr>
              <w:t xml:space="preserve">叉车 □行车 □锅炉 </w:t>
            </w:r>
            <w:r>
              <w:rPr>
                <w:rFonts w:hint="eastAsia"/>
              </w:rPr>
              <w:sym w:font="Wingdings 2" w:char="00A3"/>
            </w:r>
            <w:r>
              <w:rPr>
                <w:rFonts w:hint="eastAsia"/>
              </w:rPr>
              <w:t>电梯</w:t>
            </w:r>
            <w:r>
              <w:rPr>
                <w:rFonts w:hint="eastAsia"/>
                <w:lang w:eastAsia="zh-CN"/>
              </w:rPr>
              <w:t>（</w:t>
            </w:r>
            <w:r>
              <w:rPr>
                <w:rFonts w:hint="eastAsia"/>
                <w:lang w:val="en-US" w:eastAsia="zh-CN"/>
              </w:rPr>
              <w:t>甲方进行管理</w:t>
            </w:r>
            <w:r>
              <w:rPr>
                <w:rFonts w:hint="eastAsia"/>
                <w:lang w:eastAsia="zh-CN"/>
              </w:rPr>
              <w:t>）</w:t>
            </w:r>
            <w:r>
              <w:rPr>
                <w:rFonts w:hint="eastAsia"/>
              </w:rPr>
              <w:t xml:space="preserve">  □压力容器  □压力管道  □不适用  </w:t>
            </w:r>
          </w:p>
          <w:p>
            <w:pPr>
              <w:shd w:val="clear" w:color="auto" w:fill="F4B8FF"/>
              <w:rPr>
                <w:u w:val="single"/>
              </w:rPr>
            </w:pPr>
            <w:r>
              <w:rPr>
                <w:rFonts w:hint="eastAsia"/>
              </w:rPr>
              <w:t>特种设备管理：</w:t>
            </w:r>
            <w:r>
              <w:rPr>
                <w:rFonts w:hint="eastAsia"/>
              </w:rPr>
              <w:sym w:font="Wingdings 2" w:char="0052"/>
            </w:r>
            <w:r>
              <w:rPr>
                <w:rFonts w:hint="eastAsia"/>
              </w:rPr>
              <w:t>进行了定期检验</w:t>
            </w:r>
            <w:r>
              <w:rPr>
                <w:rFonts w:hint="eastAsia"/>
                <w:lang w:val="en-US" w:eastAsia="zh-CN"/>
              </w:rPr>
              <w:t>；</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4</w:t>
            </w:r>
            <w:r>
              <w:rPr>
                <w:rFonts w:hint="eastAsia"/>
                <w:szCs w:val="21"/>
                <w:highlight w:val="none"/>
                <w:u w:val="single"/>
              </w:rPr>
              <w:t xml:space="preserve"> </w:t>
            </w:r>
            <w:r>
              <w:rPr>
                <w:rFonts w:hint="eastAsia"/>
                <w:szCs w:val="21"/>
                <w:highlight w:val="none"/>
              </w:rPr>
              <w:t>家，例如：</w:t>
            </w:r>
          </w:p>
          <w:p>
            <w:pPr>
              <w:widowControl/>
              <w:numPr>
                <w:ilvl w:val="0"/>
                <w:numId w:val="5"/>
              </w:numPr>
              <w:snapToGrid w:val="0"/>
              <w:spacing w:before="40" w:after="40" w:line="264" w:lineRule="auto"/>
              <w:ind w:left="570" w:leftChars="0" w:firstLineChars="0"/>
              <w:rPr>
                <w:color w:val="0000FF"/>
                <w:szCs w:val="21"/>
                <w:highlight w:val="none"/>
                <w:u w:val="single"/>
              </w:rPr>
            </w:pPr>
            <w:r>
              <w:rPr>
                <w:rFonts w:hint="eastAsia"/>
                <w:color w:val="0000FF"/>
                <w:szCs w:val="21"/>
                <w:highlight w:val="none"/>
              </w:rPr>
              <w:t>主要原材料的供方——</w:t>
            </w:r>
            <w:r>
              <w:rPr>
                <w:rFonts w:hint="eastAsia"/>
                <w:szCs w:val="20"/>
                <w:highlight w:val="none"/>
                <w:u w:val="single"/>
                <w:lang w:val="en-US" w:eastAsia="zh-CN"/>
              </w:rPr>
              <w:t>方解石（ 广西天峨华鑫矿业有限公司）</w:t>
            </w:r>
          </w:p>
          <w:p>
            <w:pPr>
              <w:widowControl/>
              <w:numPr>
                <w:ilvl w:val="0"/>
                <w:numId w:val="5"/>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color w:val="0000FF"/>
                <w:szCs w:val="21"/>
                <w:highlight w:val="none"/>
                <w:lang w:val="en-US" w:eastAsia="zh-CN"/>
              </w:rPr>
              <w:t>无</w:t>
            </w:r>
          </w:p>
          <w:p>
            <w:pPr>
              <w:widowControl/>
              <w:numPr>
                <w:ilvl w:val="0"/>
                <w:numId w:val="5"/>
              </w:numPr>
              <w:snapToGrid w:val="0"/>
              <w:spacing w:before="40" w:after="40" w:line="264" w:lineRule="auto"/>
              <w:ind w:left="570" w:leftChars="0" w:firstLineChars="0"/>
              <w:rPr>
                <w:color w:val="0000FF"/>
                <w:szCs w:val="21"/>
                <w:highlight w:val="none"/>
                <w:u w:val="singl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szCs w:val="20"/>
                <w:highlight w:val="none"/>
                <w:u w:val="single"/>
                <w:lang w:val="en-US" w:eastAsia="zh-CN"/>
              </w:rPr>
              <w:t>食品用纸塑复合包装袋（</w:t>
            </w:r>
            <w:r>
              <w:rPr>
                <w:rFonts w:hint="eastAsia" w:ascii="宋体" w:hAnsi="宋体"/>
                <w:color w:val="auto"/>
                <w:sz w:val="21"/>
                <w:szCs w:val="21"/>
                <w:highlight w:val="none"/>
                <w:u w:val="single"/>
                <w:lang w:val="en-US" w:eastAsia="zh-CN"/>
              </w:rPr>
              <w:t>温州树源包装有限公司</w:t>
            </w:r>
            <w:r>
              <w:rPr>
                <w:rFonts w:hint="eastAsia"/>
                <w:szCs w:val="20"/>
                <w:highlight w:val="none"/>
                <w:u w:val="single"/>
                <w:lang w:val="en-US" w:eastAsia="zh-CN"/>
              </w:rPr>
              <w:t>）、</w:t>
            </w:r>
            <w:r>
              <w:rPr>
                <w:rFonts w:hint="eastAsia"/>
                <w:highlight w:val="none"/>
                <w:u w:val="single"/>
                <w:lang w:val="en-US" w:eastAsia="zh-CN"/>
              </w:rPr>
              <w:t>塑料编织袋（食包）（</w:t>
            </w:r>
            <w:r>
              <w:rPr>
                <w:rFonts w:hint="default" w:ascii="Times New Roman" w:hAnsi="Times New Roman" w:eastAsia="宋体" w:cs="Times New Roman"/>
                <w:kern w:val="2"/>
                <w:sz w:val="21"/>
                <w:szCs w:val="20"/>
                <w:highlight w:val="none"/>
                <w:u w:val="single"/>
                <w:lang w:val="en-US" w:eastAsia="zh-CN" w:bidi="ar-SA"/>
              </w:rPr>
              <w:t xml:space="preserve">贵州华宏塑业有限公司 </w:t>
            </w:r>
            <w:r>
              <w:rPr>
                <w:rFonts w:hint="eastAsia"/>
                <w:highlight w:val="none"/>
                <w:u w:val="single"/>
                <w:lang w:val="en-US" w:eastAsia="zh-CN"/>
              </w:rPr>
              <w:t>）</w:t>
            </w:r>
            <w:r>
              <w:rPr>
                <w:rFonts w:hint="eastAsia"/>
                <w:szCs w:val="20"/>
                <w:highlight w:val="none"/>
                <w:u w:val="single"/>
                <w:lang w:val="en-US" w:eastAsia="zh-CN"/>
              </w:rPr>
              <w:t>；</w:t>
            </w:r>
          </w:p>
          <w:p>
            <w:pPr>
              <w:widowControl/>
              <w:numPr>
                <w:ilvl w:val="0"/>
                <w:numId w:val="5"/>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无</w:t>
            </w:r>
          </w:p>
          <w:p>
            <w:pPr>
              <w:widowControl/>
              <w:numPr>
                <w:ilvl w:val="0"/>
                <w:numId w:val="5"/>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无</w:t>
            </w:r>
          </w:p>
          <w:p>
            <w:pPr>
              <w:shd w:val="clear" w:color="auto" w:fill="F4B8FF"/>
              <w:jc w:val="left"/>
            </w:pPr>
            <w:r>
              <w:rPr>
                <w:rFonts w:hint="eastAsia"/>
                <w:highlight w:val="none"/>
              </w:rPr>
              <w:t>与外部供方评价的信息：</w:t>
            </w:r>
            <w:r>
              <w:rPr>
                <w:rFonts w:hint="eastAsia"/>
                <w:highlight w:val="none"/>
              </w:rPr>
              <w:sym w:font="Wingdings 2" w:char="0052"/>
            </w:r>
            <w:r>
              <w:rPr>
                <w:rFonts w:hint="eastAsia"/>
                <w:highlight w:val="none"/>
              </w:rPr>
              <w:t xml:space="preserve">符合要求 </w:t>
            </w:r>
            <w:r>
              <w:rPr>
                <w:rFonts w:hint="eastAsia"/>
                <w:highlight w:val="none"/>
              </w:rPr>
              <w:sym w:font="Wingdings 2" w:char="00A3"/>
            </w:r>
            <w:r>
              <w:rPr>
                <w:rFonts w:hint="eastAsia"/>
                <w:highlight w:val="none"/>
              </w:rPr>
              <w:t>存在不足，说明</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□其他  </w:t>
            </w:r>
          </w:p>
          <w:p>
            <w:pPr>
              <w:shd w:val="clear" w:color="auto" w:fill="F4B8FF"/>
            </w:pPr>
            <w:r>
              <w:rPr>
                <w:rFonts w:hint="eastAsia"/>
              </w:rPr>
              <w:t>特种设备作业人员：</w:t>
            </w:r>
            <w:r>
              <w:rPr>
                <w:rFonts w:hint="eastAsia"/>
              </w:rPr>
              <w:sym w:font="Wingdings 2" w:char="0052"/>
            </w:r>
            <w:r>
              <w:rPr>
                <w:rFonts w:hint="eastAsia"/>
              </w:rPr>
              <w:t xml:space="preserve">叉车工 □行车工  □锅炉工  □压力容器   </w:t>
            </w:r>
            <w:r>
              <w:rPr>
                <w:rFonts w:hint="eastAsia"/>
              </w:rPr>
              <w:sym w:font="Wingdings 2" w:char="00A3"/>
            </w:r>
            <w:r>
              <w:rPr>
                <w:rFonts w:hint="eastAsia"/>
              </w:rPr>
              <w:t xml:space="preserve">其他   </w:t>
            </w:r>
          </w:p>
          <w:p>
            <w:pPr>
              <w:shd w:val="clear" w:color="auto" w:fill="F4B8FF"/>
              <w:rPr>
                <w:rFonts w:hint="eastAsia"/>
              </w:rPr>
            </w:pPr>
            <w:r>
              <w:rPr>
                <w:rFonts w:hint="eastAsia"/>
              </w:rPr>
              <w:t>确保与产品/服务接触的员工定期（近一年）进行了健康体检，并合格上岗。</w:t>
            </w:r>
          </w:p>
          <w:tbl>
            <w:tblPr>
              <w:tblStyle w:val="1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110"/>
              <w:gridCol w:w="2194"/>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r>
                    <w:rPr>
                      <w:rFonts w:hint="eastAsia"/>
                    </w:rPr>
                    <w:t>岗位</w:t>
                  </w:r>
                </w:p>
              </w:tc>
              <w:tc>
                <w:tcPr>
                  <w:tcW w:w="1110" w:type="dxa"/>
                </w:tcPr>
                <w:p>
                  <w:r>
                    <w:rPr>
                      <w:rFonts w:hint="eastAsia"/>
                    </w:rPr>
                    <w:t>姓氏</w:t>
                  </w:r>
                </w:p>
              </w:tc>
              <w:tc>
                <w:tcPr>
                  <w:tcW w:w="2194" w:type="dxa"/>
                </w:tcPr>
                <w:p>
                  <w:r>
                    <w:rPr>
                      <w:rFonts w:hint="eastAsia"/>
                    </w:rPr>
                    <w:t>健康证编号</w:t>
                  </w:r>
                </w:p>
              </w:tc>
              <w:tc>
                <w:tcPr>
                  <w:tcW w:w="1850" w:type="dxa"/>
                </w:tcPr>
                <w:p>
                  <w:r>
                    <w:rPr>
                      <w:rFonts w:hint="eastAsia"/>
                    </w:rPr>
                    <w:t>有效期截止日期</w:t>
                  </w:r>
                </w:p>
              </w:tc>
              <w:tc>
                <w:tcPr>
                  <w:tcW w:w="1016"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46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生产部机修工</w:t>
                  </w:r>
                </w:p>
              </w:tc>
              <w:tc>
                <w:tcPr>
                  <w:tcW w:w="111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莫义杰</w:t>
                  </w:r>
                </w:p>
              </w:tc>
              <w:tc>
                <w:tcPr>
                  <w:tcW w:w="2194"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2021-0671</w:t>
                  </w:r>
                </w:p>
              </w:tc>
              <w:tc>
                <w:tcPr>
                  <w:tcW w:w="185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lang w:val="en-US" w:eastAsia="zh-CN"/>
                    </w:rPr>
                    <w:t>2022.03.22</w:t>
                  </w:r>
                </w:p>
              </w:tc>
              <w:tc>
                <w:tcPr>
                  <w:tcW w:w="1016"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品质技术部质检员</w:t>
                  </w:r>
                </w:p>
              </w:tc>
              <w:tc>
                <w:tcPr>
                  <w:tcW w:w="111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姜涛</w:t>
                  </w:r>
                </w:p>
              </w:tc>
              <w:tc>
                <w:tcPr>
                  <w:tcW w:w="2194" w:type="dxa"/>
                  <w:vAlign w:val="top"/>
                </w:tcPr>
                <w:p>
                  <w:pPr>
                    <w:rPr>
                      <w:rFonts w:hint="default" w:ascii="Times New Roman" w:hAnsi="Times New Roman" w:eastAsia="宋体" w:cs="Times New Roman"/>
                      <w:kern w:val="2"/>
                      <w:sz w:val="21"/>
                      <w:szCs w:val="24"/>
                      <w:lang w:val="en-US" w:eastAsia="zh-CN" w:bidi="ar-SA"/>
                    </w:rPr>
                  </w:pPr>
                  <w:r>
                    <w:rPr>
                      <w:rFonts w:hint="eastAsia"/>
                      <w:highlight w:val="none"/>
                      <w:lang w:val="en-US" w:eastAsia="zh-CN"/>
                    </w:rPr>
                    <w:t>2021-0669</w:t>
                  </w:r>
                </w:p>
              </w:tc>
              <w:tc>
                <w:tcPr>
                  <w:tcW w:w="185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lang w:val="en-US" w:eastAsia="zh-CN"/>
                    </w:rPr>
                    <w:t>2022.03.22</w:t>
                  </w:r>
                </w:p>
              </w:tc>
              <w:tc>
                <w:tcPr>
                  <w:tcW w:w="1016"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460" w:type="dxa"/>
                </w:tcPr>
                <w:p>
                  <w:pPr>
                    <w:rPr>
                      <w:rFonts w:hint="default" w:eastAsia="宋体"/>
                      <w:lang w:val="en-US" w:eastAsia="zh-CN"/>
                    </w:rPr>
                  </w:pPr>
                </w:p>
              </w:tc>
              <w:tc>
                <w:tcPr>
                  <w:tcW w:w="1110" w:type="dxa"/>
                </w:tcPr>
                <w:p>
                  <w:pPr>
                    <w:rPr>
                      <w:rFonts w:hint="eastAsia" w:eastAsia="宋体"/>
                      <w:lang w:eastAsia="zh-CN"/>
                    </w:rPr>
                  </w:pPr>
                </w:p>
              </w:tc>
              <w:tc>
                <w:tcPr>
                  <w:tcW w:w="2194" w:type="dxa"/>
                </w:tcPr>
                <w:p>
                  <w:pPr>
                    <w:rPr>
                      <w:rFonts w:hint="default" w:eastAsia="宋体"/>
                      <w:lang w:val="en-US" w:eastAsia="zh-CN"/>
                    </w:rPr>
                  </w:pPr>
                </w:p>
              </w:tc>
              <w:tc>
                <w:tcPr>
                  <w:tcW w:w="1850" w:type="dxa"/>
                  <w:vAlign w:val="top"/>
                </w:tcPr>
                <w:p>
                  <w:pPr>
                    <w:rPr>
                      <w:rFonts w:hint="default" w:eastAsia="宋体"/>
                      <w:highlight w:val="none"/>
                      <w:lang w:val="en-US" w:eastAsia="zh-CN"/>
                    </w:rPr>
                  </w:pPr>
                </w:p>
              </w:tc>
              <w:tc>
                <w:tcPr>
                  <w:tcW w:w="1016"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rPr>
                      <w:rFonts w:hint="default" w:eastAsia="宋体"/>
                      <w:color w:val="FF0000"/>
                      <w:lang w:val="en-US" w:eastAsia="zh-CN"/>
                    </w:rPr>
                  </w:pPr>
                </w:p>
              </w:tc>
              <w:tc>
                <w:tcPr>
                  <w:tcW w:w="1110" w:type="dxa"/>
                </w:tcPr>
                <w:p>
                  <w:pPr>
                    <w:rPr>
                      <w:rFonts w:hint="default" w:eastAsia="宋体"/>
                      <w:color w:val="FF0000"/>
                      <w:lang w:val="en-US" w:eastAsia="zh-CN"/>
                    </w:rPr>
                  </w:pPr>
                </w:p>
              </w:tc>
              <w:tc>
                <w:tcPr>
                  <w:tcW w:w="2194" w:type="dxa"/>
                </w:tcPr>
                <w:p>
                  <w:pPr>
                    <w:rPr>
                      <w:rFonts w:hint="default" w:eastAsia="宋体"/>
                      <w:color w:val="FF0000"/>
                      <w:lang w:val="en-US" w:eastAsia="zh-CN"/>
                    </w:rPr>
                  </w:pPr>
                </w:p>
              </w:tc>
              <w:tc>
                <w:tcPr>
                  <w:tcW w:w="1850" w:type="dxa"/>
                </w:tcPr>
                <w:p>
                  <w:pPr>
                    <w:rPr>
                      <w:rFonts w:hint="default"/>
                      <w:color w:val="FF0000"/>
                      <w:lang w:val="en-US"/>
                    </w:rPr>
                  </w:pPr>
                </w:p>
              </w:tc>
              <w:tc>
                <w:tcPr>
                  <w:tcW w:w="1016" w:type="dxa"/>
                </w:tcPr>
                <w:p>
                  <w:pPr>
                    <w:rPr>
                      <w:rFonts w:hint="eastAsia" w:eastAsia="宋体"/>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rPr>
                      <w:rFonts w:hint="default"/>
                      <w:color w:val="FF0000"/>
                      <w:lang w:val="en-US" w:eastAsia="zh-CN"/>
                    </w:rPr>
                  </w:pPr>
                </w:p>
              </w:tc>
              <w:tc>
                <w:tcPr>
                  <w:tcW w:w="1110" w:type="dxa"/>
                </w:tcPr>
                <w:p>
                  <w:pPr>
                    <w:rPr>
                      <w:rFonts w:hint="default"/>
                      <w:color w:val="FF0000"/>
                      <w:lang w:val="en-US" w:eastAsia="zh-CN"/>
                    </w:rPr>
                  </w:pPr>
                </w:p>
              </w:tc>
              <w:tc>
                <w:tcPr>
                  <w:tcW w:w="2194" w:type="dxa"/>
                  <w:vAlign w:val="top"/>
                </w:tcPr>
                <w:p>
                  <w:pPr>
                    <w:rPr>
                      <w:rFonts w:hint="eastAsia" w:ascii="Times New Roman" w:hAnsi="Times New Roman" w:eastAsia="宋体" w:cs="Times New Roman"/>
                      <w:color w:val="FF0000"/>
                      <w:kern w:val="2"/>
                      <w:sz w:val="21"/>
                      <w:lang w:val="en-US" w:eastAsia="zh-CN" w:bidi="ar-SA"/>
                    </w:rPr>
                  </w:pPr>
                </w:p>
              </w:tc>
              <w:tc>
                <w:tcPr>
                  <w:tcW w:w="1850" w:type="dxa"/>
                  <w:vAlign w:val="top"/>
                </w:tcPr>
                <w:p>
                  <w:pPr>
                    <w:rPr>
                      <w:rFonts w:hint="default" w:ascii="Times New Roman" w:hAnsi="Times New Roman" w:eastAsia="宋体" w:cs="Times New Roman"/>
                      <w:color w:val="FF0000"/>
                      <w:kern w:val="2"/>
                      <w:sz w:val="21"/>
                      <w:lang w:val="en-US" w:eastAsia="zh-CN" w:bidi="ar-SA"/>
                    </w:rPr>
                  </w:pPr>
                </w:p>
              </w:tc>
              <w:tc>
                <w:tcPr>
                  <w:tcW w:w="1016" w:type="dxa"/>
                  <w:vAlign w:val="top"/>
                </w:tcPr>
                <w:p>
                  <w:pPr>
                    <w:rPr>
                      <w:rFonts w:hint="eastAsia" w:ascii="Times New Roman" w:hAnsi="Times New Roman" w:eastAsia="宋体" w:cs="Times New Roman"/>
                      <w:color w:val="FF0000"/>
                      <w:kern w:val="2"/>
                      <w:sz w:val="21"/>
                      <w:lang w:val="en-US" w:eastAsia="zh-CN" w:bidi="ar-SA"/>
                    </w:rPr>
                  </w:pP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品质技术部</w:t>
            </w:r>
            <w:r>
              <w:rPr>
                <w:rFonts w:hint="eastAsia"/>
                <w:highlight w:val="none"/>
              </w:rPr>
              <w:t>人员、 ☑</w:t>
            </w:r>
            <w:r>
              <w:rPr>
                <w:rFonts w:hint="eastAsia"/>
                <w:highlight w:val="none"/>
                <w:lang w:val="en-US" w:eastAsia="zh-CN"/>
              </w:rPr>
              <w:t>生产部</w:t>
            </w:r>
            <w:r>
              <w:rPr>
                <w:rFonts w:hint="eastAsia"/>
                <w:highlight w:val="none"/>
              </w:rPr>
              <w:t>人员、☑</w:t>
            </w:r>
            <w:r>
              <w:rPr>
                <w:rFonts w:hint="eastAsia"/>
                <w:highlight w:val="none"/>
                <w:lang w:val="en-US" w:eastAsia="zh-CN"/>
              </w:rPr>
              <w:t>供销部</w:t>
            </w:r>
            <w:r>
              <w:rPr>
                <w:rFonts w:hint="eastAsia"/>
                <w:highlight w:val="none"/>
              </w:rPr>
              <w:t>人员、</w:t>
            </w:r>
            <w:r>
              <w:rPr>
                <w:rFonts w:hint="eastAsia"/>
                <w:highlight w:val="none"/>
              </w:rPr>
              <w:sym w:font="Wingdings" w:char="00FE"/>
            </w:r>
            <w:r>
              <w:rPr>
                <w:rFonts w:hint="eastAsia"/>
                <w:highlight w:val="none"/>
                <w:lang w:val="en-US" w:eastAsia="zh-CN"/>
              </w:rPr>
              <w:t>办公室</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5"/>
              <w:rPr>
                <w:rFonts w:hint="eastAsia"/>
              </w:rPr>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5"/>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shd w:val="clear" w:color="auto" w:fill="F4B8FF"/>
              <w:rPr>
                <w:rFonts w:hint="eastAsia" w:eastAsia="宋体"/>
                <w:szCs w:val="18"/>
                <w:highlight w:val="none"/>
                <w:lang w:val="en-US" w:eastAsia="zh-CN"/>
              </w:rPr>
            </w:pPr>
            <w:r>
              <w:rPr>
                <w:rFonts w:hint="eastAsia"/>
                <w:highlight w:val="none"/>
              </w:rPr>
              <w:t>☑</w:t>
            </w:r>
            <w:r>
              <w:rPr>
                <w:rFonts w:hint="eastAsia"/>
                <w:highlight w:val="none"/>
                <w:u w:val="single"/>
              </w:rPr>
              <w:t xml:space="preserve"> 《</w:t>
            </w:r>
            <w:r>
              <w:rPr>
                <w:rFonts w:hint="eastAsia"/>
                <w:color w:val="000000"/>
                <w:sz w:val="21"/>
                <w:szCs w:val="21"/>
                <w:u w:val="single"/>
              </w:rPr>
              <w:t>GB 31647-2018 食品安全国家标准 食品添加剂生产通用卫生规范</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24</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lang w:val="en-US" w:eastAsia="zh-CN"/>
              </w:rPr>
              <w:t>24</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lang w:val="en-US" w:eastAsia="zh-CN"/>
              </w:rPr>
              <w:t>8</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标识卡</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A8"/>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A8"/>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22</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应急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6"/>
              </w:numPr>
              <w:rPr>
                <w:color w:val="020FBE"/>
                <w:lang w:val="en-GB"/>
              </w:rPr>
            </w:pPr>
            <w:r>
              <w:rPr>
                <w:rFonts w:hint="eastAsia"/>
                <w:color w:val="020FBE"/>
                <w:lang w:val="en-US" w:eastAsia="zh-CN"/>
              </w:rPr>
              <w:t>方解石</w:t>
            </w:r>
          </w:p>
          <w:p>
            <w:pPr>
              <w:numPr>
                <w:ilvl w:val="0"/>
                <w:numId w:val="6"/>
              </w:numPr>
            </w:pPr>
            <w:r>
              <w:rPr>
                <w:rFonts w:hint="eastAsia"/>
                <w:szCs w:val="20"/>
                <w:lang w:val="en-US" w:eastAsia="zh-CN"/>
              </w:rPr>
              <w:t>食品用纸塑复合包装袋、食品用PE内膜袋等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6"/>
              </w:numPr>
              <w:rPr>
                <w:u w:val="none"/>
              </w:rPr>
            </w:pPr>
            <w:r>
              <w:rPr>
                <w:rFonts w:hint="eastAsia"/>
                <w:b/>
                <w:u w:val="single"/>
                <w:lang w:val="en-US" w:eastAsia="zh-CN"/>
              </w:rPr>
              <w:t>碳酸钙（重质碳酸钙）</w:t>
            </w:r>
          </w:p>
          <w:p>
            <w:pPr>
              <w:pStyle w:val="15"/>
            </w:pP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食品生产企业的食品添加剂</w:t>
            </w:r>
            <w:r>
              <w:rPr>
                <w:rFonts w:hint="eastAsia"/>
                <w:u w:val="single"/>
                <w:lang w:val="en-US" w:eastAsia="zh-CN"/>
              </w:rPr>
              <w:t>原料</w:t>
            </w:r>
            <w:r>
              <w:rPr>
                <w:u w:val="single"/>
              </w:rPr>
              <w:t xml:space="preserve">  </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无</w:t>
            </w:r>
            <w:r>
              <w:rPr>
                <w:rFonts w:hint="eastAsia"/>
                <w:color w:val="0000FF"/>
                <w:u w:val="single"/>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A8"/>
            </w:r>
            <w:r>
              <w:rPr>
                <w:rFonts w:hint="eastAsia"/>
              </w:rPr>
              <w:t xml:space="preserve">易过敏人群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7"/>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7"/>
              </w:numPr>
              <w:autoSpaceDE w:val="0"/>
              <w:autoSpaceDN w:val="0"/>
              <w:adjustRightInd w:val="0"/>
              <w:rPr>
                <w:b/>
              </w:rPr>
            </w:pPr>
            <w:r>
              <w:rPr>
                <w:rFonts w:hint="eastAsia"/>
              </w:rPr>
              <w:t>工厂位置图</w:t>
            </w:r>
          </w:p>
          <w:p>
            <w:pPr>
              <w:widowControl/>
              <w:numPr>
                <w:ilvl w:val="0"/>
                <w:numId w:val="7"/>
              </w:numPr>
              <w:autoSpaceDE w:val="0"/>
              <w:autoSpaceDN w:val="0"/>
              <w:adjustRightInd w:val="0"/>
            </w:pPr>
            <w:r>
              <w:rPr>
                <w:rFonts w:hint="eastAsia"/>
              </w:rPr>
              <w:t>厂区平面图</w:t>
            </w:r>
          </w:p>
          <w:p>
            <w:pPr>
              <w:widowControl/>
              <w:numPr>
                <w:ilvl w:val="0"/>
                <w:numId w:val="7"/>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7"/>
              </w:numPr>
              <w:autoSpaceDE w:val="0"/>
              <w:autoSpaceDN w:val="0"/>
              <w:adjustRightInd w:val="0"/>
              <w:rPr>
                <w:b/>
              </w:rPr>
            </w:pPr>
            <w:r>
              <w:rPr>
                <w:rFonts w:hint="eastAsia"/>
              </w:rPr>
              <w:t>人流、物流、气流图</w:t>
            </w:r>
          </w:p>
          <w:p>
            <w:pPr>
              <w:widowControl/>
              <w:numPr>
                <w:ilvl w:val="0"/>
                <w:numId w:val="7"/>
              </w:numPr>
              <w:autoSpaceDE w:val="0"/>
              <w:autoSpaceDN w:val="0"/>
              <w:adjustRightInd w:val="0"/>
              <w:rPr>
                <w:b/>
              </w:rPr>
            </w:pPr>
            <w:r>
              <w:rPr>
                <w:rFonts w:hint="eastAsia"/>
              </w:rPr>
              <w:t>供排水网络图</w:t>
            </w:r>
          </w:p>
          <w:p>
            <w:pPr>
              <w:widowControl/>
              <w:numPr>
                <w:ilvl w:val="0"/>
                <w:numId w:val="7"/>
              </w:numPr>
              <w:autoSpaceDE w:val="0"/>
              <w:autoSpaceDN w:val="0"/>
              <w:adjustRightInd w:val="0"/>
              <w:rPr>
                <w:b/>
              </w:rPr>
            </w:pPr>
            <w:r>
              <w:rPr>
                <w:rFonts w:hint="eastAsia"/>
              </w:rPr>
              <w:t>防虫害分布图</w:t>
            </w:r>
          </w:p>
          <w:p>
            <w:pPr>
              <w:widowControl/>
              <w:numPr>
                <w:ilvl w:val="0"/>
                <w:numId w:val="7"/>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t>¨</w:t>
            </w:r>
            <w:r>
              <w:rPr>
                <w:rFonts w:hint="eastAsia"/>
              </w:rPr>
              <w:t xml:space="preserve">是   </w:t>
            </w:r>
            <w:r>
              <w:rPr>
                <w:rFonts w:hint="eastAsia" w:ascii="Wingdings" w:hAnsi="Wingdings"/>
              </w:rPr>
              <w:t>¨</w:t>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t>化学危害：</w:t>
            </w:r>
            <w:r>
              <w:rPr/>
              <w:sym w:font="Wingdings" w:char="00FE"/>
            </w:r>
            <w:r>
              <w:t xml:space="preserve">重金属  </w:t>
            </w:r>
            <w:r>
              <w:rPr/>
              <w:sym w:font="Wingdings" w:char="00A8"/>
            </w:r>
            <w:r>
              <w:t xml:space="preserve">农药残留  </w:t>
            </w:r>
            <w:r>
              <w:rPr/>
              <w:sym w:font="Wingdings" w:char="00A8"/>
            </w:r>
            <w:r>
              <w:t xml:space="preserve">兽药残留  </w:t>
            </w:r>
            <w:r>
              <w:rPr/>
              <w:sym w:font="Wingdings" w:char="00A8"/>
            </w:r>
            <w:r>
              <w:t xml:space="preserve">黄曲霉毒素  </w:t>
            </w:r>
            <w:r>
              <w:rPr/>
              <w:sym w:font="Wingdings" w:char="00A8"/>
            </w:r>
            <w:r>
              <w:t xml:space="preserve">放射性物质 </w:t>
            </w:r>
            <w:r>
              <w:rPr/>
              <w:sym w:font="Wingdings" w:char="00A8"/>
            </w:r>
            <w:r>
              <w:t xml:space="preserve">贝类毒素 </w:t>
            </w:r>
          </w:p>
          <w:p>
            <w:pPr>
              <w:ind w:firstLine="840" w:firstLineChars="400"/>
            </w:pPr>
            <w:r>
              <w:t xml:space="preserve">  </w:t>
            </w:r>
            <w:r>
              <w:rPr/>
              <w:sym w:font="Wingdings" w:char="00A8"/>
            </w:r>
            <w:r>
              <w:t xml:space="preserve">超量的食品添加剂   </w:t>
            </w:r>
            <w:r>
              <w:rPr/>
              <w:sym w:font="Wingdings" w:char="00A8"/>
            </w:r>
            <w:r>
              <w:t xml:space="preserve">化学品（润滑油、清洁剂、消毒剂、杀虫剂）  </w:t>
            </w:r>
            <w:r>
              <w:rPr/>
              <w:sym w:font="Wingdings" w:char="00A8"/>
            </w:r>
            <w:r>
              <w:t xml:space="preserve"> </w:t>
            </w:r>
            <w:r>
              <w:rPr>
                <w:bCs/>
                <w:lang w:val="en-GB"/>
              </w:rPr>
              <w:t>苯并芘</w:t>
            </w:r>
            <w:r>
              <w:rPr>
                <w:b/>
                <w:color w:val="0000FF"/>
              </w:rPr>
              <w:t xml:space="preserve"> </w:t>
            </w:r>
            <w:r>
              <w:t xml:space="preserve">  </w:t>
            </w:r>
          </w:p>
          <w:p>
            <w:pPr>
              <w:ind w:firstLine="1050" w:firstLineChars="500"/>
            </w:pPr>
            <w:r>
              <w:rPr/>
              <w:sym w:font="Wingdings" w:char="00A8"/>
            </w:r>
            <w:r>
              <w:t xml:space="preserve">二氧化硫残留 </w:t>
            </w:r>
            <w:r>
              <w:rPr/>
              <w:sym w:font="Wingdings" w:char="00A8"/>
            </w:r>
            <w:r>
              <w:t>有毒有害种子</w:t>
            </w:r>
            <w:r>
              <w:rPr/>
              <w:sym w:font="Wingdings" w:char="00A8"/>
            </w:r>
            <w:r>
              <w:t>其他</w:t>
            </w:r>
            <w:r>
              <w:rPr>
                <w:rFonts w:hint="eastAsia"/>
              </w:rPr>
              <w:t>（挥发性盐基氮、组胺、多氯联苯）</w:t>
            </w:r>
            <w:r>
              <w:t xml:space="preserve">  </w:t>
            </w:r>
          </w:p>
          <w:p>
            <w:r>
              <w:t>生物危害：</w:t>
            </w:r>
            <w:r>
              <w:rPr/>
              <w:sym w:font="Wingdings" w:char="00A8"/>
            </w:r>
            <w:r>
              <w:t xml:space="preserve">大肠杆菌    </w:t>
            </w:r>
            <w:r>
              <w:rPr/>
              <w:sym w:font="Wingdings" w:char="00A8"/>
            </w:r>
            <w:r>
              <w:t xml:space="preserve">金黄色葡萄球菌  </w:t>
            </w:r>
            <w:r>
              <w:rPr/>
              <w:sym w:font="Wingdings" w:char="00A8"/>
            </w:r>
            <w:r>
              <w:t xml:space="preserve">志贺氏菌  </w:t>
            </w:r>
            <w:r>
              <w:rPr/>
              <w:sym w:font="Wingdings" w:char="00A8"/>
            </w:r>
            <w:r>
              <w:t xml:space="preserve">霉菌  </w:t>
            </w:r>
            <w:r>
              <w:rPr/>
              <w:sym w:font="Wingdings" w:char="00A8"/>
            </w:r>
            <w:r>
              <w:t xml:space="preserve">酵母菌 </w:t>
            </w:r>
            <w:r>
              <w:rPr/>
              <w:sym w:font="Wingdings" w:char="00A8"/>
            </w:r>
            <w:r>
              <w:t>沙门氏菌</w:t>
            </w:r>
          </w:p>
          <w:p>
            <w:r>
              <w:t xml:space="preserve">          </w:t>
            </w:r>
            <w:r>
              <w:rPr/>
              <w:sym w:font="Wingdings" w:char="00A8"/>
            </w:r>
            <w:r>
              <w:t xml:space="preserve">副溶血弧菌 </w:t>
            </w:r>
            <w:r>
              <w:rPr/>
              <w:sym w:font="Wingdings" w:char="00A8"/>
            </w:r>
            <w:r>
              <w:t xml:space="preserve">寄生虫   </w:t>
            </w:r>
            <w:r>
              <w:rPr/>
              <w:sym w:font="Wingdings" w:char="00A8"/>
            </w:r>
            <w:r>
              <w:t xml:space="preserve">革兰氏阳性菌  </w:t>
            </w:r>
            <w:r>
              <w:rPr/>
              <w:sym w:font="Wingdings" w:char="00A8"/>
            </w:r>
            <w:r>
              <w:t xml:space="preserve">革兰氏阴性菌      </w:t>
            </w:r>
            <w:r>
              <w:rPr/>
              <w:sym w:font="Wingdings" w:char="00A8"/>
            </w:r>
            <w:r>
              <w:t>其他</w:t>
            </w:r>
            <w:r>
              <w:rPr>
                <w:rFonts w:hint="eastAsia"/>
              </w:rPr>
              <w:t>致病</w:t>
            </w:r>
            <w:r>
              <w:t>菌</w:t>
            </w:r>
          </w:p>
          <w:p>
            <w:r>
              <w:t>物理危害：</w:t>
            </w:r>
            <w:r>
              <w:rPr/>
              <w:sym w:font="Wingdings" w:char="00FE"/>
            </w:r>
            <w:r>
              <w:t xml:space="preserve">金属屑  </w:t>
            </w:r>
            <w:r>
              <w:rPr/>
              <w:sym w:font="Wingdings" w:char="00FE"/>
            </w:r>
            <w:r>
              <w:t xml:space="preserve">玻璃渣  </w:t>
            </w:r>
            <w:r>
              <w:rPr/>
              <w:sym w:font="Wingdings" w:char="00FE"/>
            </w:r>
            <w:r>
              <w:t xml:space="preserve">碎石  </w:t>
            </w:r>
            <w:r>
              <w:rPr/>
              <w:sym w:font="Wingdings" w:char="00FE"/>
            </w:r>
            <w:r>
              <w:t xml:space="preserve">沙子  </w:t>
            </w:r>
            <w:r>
              <w:rPr/>
              <w:sym w:font="Wingdings" w:char="00FE"/>
            </w:r>
            <w: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r>
                    <w:rPr>
                      <w:rFonts w:hint="eastAsia"/>
                      <w:lang w:val="en-GB"/>
                    </w:rPr>
                    <w:t>产品</w:t>
                  </w:r>
                  <w:r>
                    <w:rPr>
                      <w:rFonts w:hint="eastAsia"/>
                    </w:rPr>
                    <w:t>名称</w:t>
                  </w:r>
                </w:p>
              </w:tc>
              <w:tc>
                <w:tcPr>
                  <w:tcW w:w="2873" w:type="dxa"/>
                  <w:shd w:val="clear" w:color="auto" w:fill="auto"/>
                  <w:vAlign w:val="bottom"/>
                </w:tcPr>
                <w:p>
                  <w:pPr>
                    <w:jc w:val="center"/>
                    <w:rPr>
                      <w:lang w:val="en-GB"/>
                    </w:rPr>
                  </w:pPr>
                  <w:r>
                    <w:rPr>
                      <w:rFonts w:hint="eastAsia"/>
                      <w:lang w:val="en-GB"/>
                    </w:rPr>
                    <w:t>潜在危害</w:t>
                  </w:r>
                </w:p>
              </w:tc>
              <w:tc>
                <w:tcPr>
                  <w:tcW w:w="3665"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ascii="Times New Roman" w:hAnsi="Times New Roman" w:eastAsia="宋体" w:cs="Times New Roman"/>
                      <w:bCs/>
                      <w:kern w:val="2"/>
                      <w:sz w:val="21"/>
                      <w:szCs w:val="24"/>
                      <w:lang w:val="en-GB" w:eastAsia="zh-CN" w:bidi="ar-SA"/>
                    </w:rPr>
                  </w:pPr>
                  <w:r>
                    <w:rPr>
                      <w:rFonts w:hint="eastAsia"/>
                      <w:bCs/>
                      <w:lang w:val="en-US" w:eastAsia="zh-CN"/>
                    </w:rPr>
                    <w:t>碳酸钙（</w:t>
                  </w:r>
                  <w:r>
                    <w:rPr>
                      <w:rFonts w:hint="eastAsia"/>
                      <w:bCs/>
                      <w:lang w:val="en-GB"/>
                    </w:rPr>
                    <w:t>重质碳酸钙</w:t>
                  </w:r>
                  <w:r>
                    <w:rPr>
                      <w:rFonts w:hint="eastAsia"/>
                      <w:bCs/>
                      <w:lang w:val="en-US" w:eastAsia="zh-CN"/>
                    </w:rPr>
                    <w:t>）</w:t>
                  </w:r>
                </w:p>
              </w:tc>
              <w:tc>
                <w:tcPr>
                  <w:tcW w:w="2873" w:type="dxa"/>
                  <w:shd w:val="clear" w:color="auto" w:fill="auto"/>
                  <w:vAlign w:val="center"/>
                </w:tcPr>
                <w:p>
                  <w:pPr>
                    <w:jc w:val="center"/>
                    <w:rPr>
                      <w:bCs/>
                      <w:lang w:val="en-GB"/>
                    </w:rPr>
                  </w:pPr>
                  <w:r>
                    <w:rPr>
                      <w:bCs/>
                    </w:rPr>
                    <w:sym w:font="Wingdings" w:char="00A8"/>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p>
                  <w:pPr>
                    <w:jc w:val="center"/>
                    <w:rPr>
                      <w:rFonts w:ascii="Times New Roman" w:hAnsi="Times New Roman" w:eastAsia="宋体" w:cs="Times New Roman"/>
                      <w:bCs/>
                      <w:kern w:val="2"/>
                      <w:sz w:val="21"/>
                      <w:szCs w:val="24"/>
                      <w:lang w:val="en-GB" w:eastAsia="zh-CN" w:bidi="ar-SA"/>
                    </w:rPr>
                  </w:pPr>
                  <w:r>
                    <w:rPr>
                      <w:bCs/>
                    </w:rPr>
                    <w:sym w:font="Wingdings" w:char="00FE"/>
                  </w:r>
                  <w:r>
                    <w:rPr>
                      <w:rFonts w:hint="eastAsia"/>
                      <w:bCs/>
                    </w:rPr>
                    <w:t>物理危害</w:t>
                  </w:r>
                </w:p>
              </w:tc>
              <w:tc>
                <w:tcPr>
                  <w:tcW w:w="3665" w:type="dxa"/>
                  <w:shd w:val="clear" w:color="auto" w:fill="auto"/>
                  <w:vAlign w:val="center"/>
                </w:tcPr>
                <w:p>
                  <w:pPr>
                    <w:jc w:val="center"/>
                    <w:rPr>
                      <w:bCs/>
                    </w:rPr>
                  </w:pPr>
                  <w:r>
                    <w:rPr/>
                    <w:sym w:font="Wingdings" w:char="00FE"/>
                  </w:r>
                  <w:r>
                    <w:rPr>
                      <w:bCs/>
                    </w:rPr>
                    <w:t>OPRP</w:t>
                  </w:r>
                </w:p>
                <w:p>
                  <w:pPr>
                    <w:jc w:val="center"/>
                    <w:rPr>
                      <w:bCs/>
                    </w:rPr>
                  </w:pPr>
                  <w:r>
                    <w:rPr>
                      <w:bCs/>
                    </w:rPr>
                    <w:sym w:font="Wingdings" w:char="00FE"/>
                  </w:r>
                  <w:r>
                    <w:rPr>
                      <w:bCs/>
                    </w:rPr>
                    <w:t>CCPs</w:t>
                  </w:r>
                </w:p>
                <w:p>
                  <w:pPr>
                    <w:jc w:val="center"/>
                    <w:rPr>
                      <w:bCs/>
                    </w:rPr>
                  </w:pPr>
                  <w:r>
                    <w:rPr/>
                    <w:sym w:font="Wingdings" w:char="00A8"/>
                  </w:r>
                  <w:r>
                    <w:rPr>
                      <w:bCs/>
                    </w:rPr>
                    <w:t>作业指导书&amp;SSOP</w:t>
                  </w:r>
                </w:p>
                <w:p>
                  <w:pPr>
                    <w:jc w:val="center"/>
                    <w:rPr>
                      <w:rFonts w:ascii="Times New Roman" w:hAnsi="Times New Roman" w:eastAsia="宋体" w:cs="Times New Roman"/>
                      <w:bCs/>
                      <w:kern w:val="2"/>
                      <w:sz w:val="21"/>
                      <w:szCs w:val="24"/>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278" w:type="dxa"/>
                  <w:shd w:val="clear" w:color="auto" w:fill="auto"/>
                  <w:vAlign w:val="center"/>
                </w:tcPr>
                <w:p>
                  <w:pPr>
                    <w:jc w:val="left"/>
                    <w:rPr>
                      <w:lang w:val="en-GB"/>
                    </w:rPr>
                  </w:pPr>
                </w:p>
              </w:tc>
              <w:tc>
                <w:tcPr>
                  <w:tcW w:w="2873" w:type="dxa"/>
                  <w:shd w:val="clear" w:color="auto" w:fill="auto"/>
                  <w:vAlign w:val="bottom"/>
                </w:tcPr>
                <w:p/>
              </w:tc>
              <w:tc>
                <w:tcPr>
                  <w:tcW w:w="3665" w:type="dxa"/>
                  <w:shd w:val="clear" w:color="auto" w:fill="auto"/>
                  <w:vAlign w:val="bottom"/>
                </w:tcPr>
                <w:p/>
              </w:tc>
            </w:tr>
          </w:tbl>
          <w:p>
            <w:pPr>
              <w:pStyle w:val="2"/>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1"/>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05" w:type="dxa"/>
                  <w:shd w:val="clear" w:color="auto" w:fill="auto"/>
                </w:tcPr>
                <w:p>
                  <w:pPr>
                    <w:jc w:val="center"/>
                    <w:rPr>
                      <w:rFonts w:hint="default" w:ascii="Times New Roman" w:hAnsi="Times New Roman" w:cs="Times New Roman"/>
                      <w:bCs/>
                    </w:rPr>
                  </w:pPr>
                  <w:r>
                    <w:rPr>
                      <w:rFonts w:hint="default" w:ascii="Times New Roman" w:hAnsi="Times New Roman" w:cs="Times New Roman"/>
                      <w:bCs/>
                    </w:rPr>
                    <w:t>主要原料名称</w:t>
                  </w:r>
                </w:p>
              </w:tc>
              <w:tc>
                <w:tcPr>
                  <w:tcW w:w="2905" w:type="dxa"/>
                  <w:shd w:val="clear" w:color="auto" w:fill="auto"/>
                </w:tcPr>
                <w:p>
                  <w:pPr>
                    <w:jc w:val="center"/>
                    <w:rPr>
                      <w:rFonts w:hint="default" w:ascii="Times New Roman" w:hAnsi="Times New Roman" w:cs="Times New Roman"/>
                      <w:bCs/>
                    </w:rPr>
                  </w:pPr>
                  <w:r>
                    <w:rPr>
                      <w:rFonts w:hint="default" w:ascii="Times New Roman" w:hAnsi="Times New Roman" w:cs="Times New Roman"/>
                      <w:bCs/>
                    </w:rPr>
                    <w:t>潜在危害</w:t>
                  </w:r>
                </w:p>
              </w:tc>
              <w:tc>
                <w:tcPr>
                  <w:tcW w:w="3476" w:type="dxa"/>
                  <w:shd w:val="clear" w:color="auto" w:fill="auto"/>
                </w:tcPr>
                <w:p>
                  <w:pPr>
                    <w:jc w:val="center"/>
                    <w:rPr>
                      <w:rFonts w:hint="default" w:ascii="Times New Roman" w:hAnsi="Times New Roman" w:cs="Times New Roman"/>
                      <w:bCs/>
                    </w:rPr>
                  </w:pPr>
                  <w:r>
                    <w:rPr>
                      <w:rFonts w:hint="default" w:ascii="Times New Roman" w:hAnsi="Times New Roman" w:cs="Times New Roman"/>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305" w:type="dxa"/>
                  <w:shd w:val="clear" w:color="auto" w:fill="auto"/>
                  <w:vAlign w:val="center"/>
                </w:tcPr>
                <w:p>
                  <w:pPr>
                    <w:autoSpaceDE w:val="0"/>
                    <w:autoSpaceDN w:val="0"/>
                    <w:adjustRightInd w:val="0"/>
                    <w:jc w:val="center"/>
                    <w:rPr>
                      <w:rFonts w:hint="default" w:ascii="Times New Roman" w:hAnsi="Times New Roman" w:eastAsia="宋体" w:cs="Times New Roman"/>
                      <w:bCs/>
                      <w:kern w:val="2"/>
                      <w:sz w:val="18"/>
                      <w:szCs w:val="18"/>
                      <w:lang w:val="en-GB" w:eastAsia="zh-CN" w:bidi="ar-SA"/>
                    </w:rPr>
                  </w:pPr>
                  <w:r>
                    <w:rPr>
                      <w:rFonts w:hint="default" w:ascii="Times New Roman" w:hAnsi="Times New Roman" w:cs="Times New Roman"/>
                      <w:bCs/>
                      <w:sz w:val="18"/>
                      <w:szCs w:val="18"/>
                      <w:lang w:val="en-GB"/>
                    </w:rPr>
                    <w:t>方解石</w:t>
                  </w:r>
                </w:p>
              </w:tc>
              <w:tc>
                <w:tcPr>
                  <w:tcW w:w="2905" w:type="dxa"/>
                  <w:shd w:val="clear" w:color="auto" w:fill="auto"/>
                  <w:vAlign w:val="center"/>
                </w:tcPr>
                <w:p>
                  <w:pPr>
                    <w:jc w:val="center"/>
                    <w:rPr>
                      <w:rFonts w:hint="default" w:ascii="Times New Roman" w:hAnsi="Times New Roman" w:cs="Times New Roman"/>
                      <w:bCs/>
                      <w:sz w:val="18"/>
                      <w:szCs w:val="18"/>
                      <w:lang w:val="en-GB"/>
                    </w:rPr>
                  </w:pPr>
                  <w:r>
                    <w:rPr>
                      <w:rFonts w:hint="default" w:ascii="Times New Roman" w:hAnsi="Times New Roman" w:cs="Times New Roman"/>
                    </w:rPr>
                    <w:sym w:font="Wingdings" w:char="00A8"/>
                  </w:r>
                  <w:r>
                    <w:rPr>
                      <w:rFonts w:hint="default" w:ascii="Times New Roman" w:hAnsi="Times New Roman" w:cs="Times New Roman"/>
                      <w:bCs/>
                      <w:sz w:val="18"/>
                      <w:szCs w:val="18"/>
                      <w:lang w:val="en-GB"/>
                    </w:rPr>
                    <w:t>有害微生物</w:t>
                  </w:r>
                  <w:r>
                    <w:rPr>
                      <w:rFonts w:hint="default" w:ascii="Times New Roman" w:hAnsi="Times New Roman" w:cs="Times New Roman"/>
                      <w:bCs/>
                      <w:sz w:val="18"/>
                      <w:szCs w:val="18"/>
                    </w:rPr>
                    <w:t xml:space="preserve"> </w:t>
                  </w:r>
                  <w:r>
                    <w:rPr>
                      <w:rFonts w:hint="default" w:ascii="Times New Roman" w:hAnsi="Times New Roman" w:cs="Times New Roman"/>
                      <w:sz w:val="18"/>
                      <w:szCs w:val="18"/>
                    </w:rPr>
                    <w:sym w:font="Wingdings" w:char="00FE"/>
                  </w:r>
                  <w:r>
                    <w:rPr>
                      <w:rFonts w:hint="default" w:ascii="Times New Roman" w:hAnsi="Times New Roman" w:cs="Times New Roman"/>
                      <w:bCs/>
                      <w:sz w:val="18"/>
                      <w:szCs w:val="18"/>
                      <w:lang w:val="en-GB"/>
                    </w:rPr>
                    <w:t>重金属</w:t>
                  </w:r>
                </w:p>
                <w:p>
                  <w:pPr>
                    <w:autoSpaceDE w:val="0"/>
                    <w:autoSpaceDN w:val="0"/>
                    <w:adjustRightInd w:val="0"/>
                    <w:jc w:val="center"/>
                    <w:rPr>
                      <w:rFonts w:hint="default" w:ascii="Times New Roman" w:hAnsi="Times New Roman" w:cs="Times New Roman"/>
                      <w:bCs/>
                      <w:sz w:val="18"/>
                      <w:szCs w:val="18"/>
                      <w:lang w:val="en-GB"/>
                    </w:rPr>
                  </w:pPr>
                  <w:r>
                    <w:rPr>
                      <w:rFonts w:hint="default" w:ascii="Times New Roman" w:hAnsi="Times New Roman" w:cs="Times New Roman"/>
                      <w:bCs/>
                      <w:sz w:val="18"/>
                      <w:szCs w:val="18"/>
                    </w:rPr>
                    <w:sym w:font="Wingdings" w:char="00A8"/>
                  </w:r>
                  <w:r>
                    <w:rPr>
                      <w:rFonts w:hint="default" w:ascii="Times New Roman" w:hAnsi="Times New Roman" w:cs="Times New Roman"/>
                      <w:bCs/>
                      <w:sz w:val="18"/>
                      <w:szCs w:val="18"/>
                      <w:lang w:val="en-GB"/>
                    </w:rPr>
                    <w:t xml:space="preserve">黄曲霉毒素 </w:t>
                  </w:r>
                  <w:r>
                    <w:rPr>
                      <w:rFonts w:hint="default" w:ascii="Times New Roman" w:hAnsi="Times New Roman" w:cs="Times New Roman"/>
                      <w:bCs/>
                      <w:sz w:val="18"/>
                      <w:szCs w:val="18"/>
                    </w:rPr>
                    <w:sym w:font="Wingdings" w:char="00A8"/>
                  </w:r>
                  <w:r>
                    <w:rPr>
                      <w:rFonts w:hint="default" w:ascii="Times New Roman" w:hAnsi="Times New Roman" w:cs="Times New Roman"/>
                      <w:bCs/>
                      <w:sz w:val="18"/>
                      <w:szCs w:val="18"/>
                      <w:lang w:val="en-GB"/>
                    </w:rPr>
                    <w:t>苯并芘</w:t>
                  </w:r>
                </w:p>
                <w:p>
                  <w:pPr>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rPr>
                    <w:sym w:font="Wingdings" w:char="00A8"/>
                  </w:r>
                  <w:r>
                    <w:rPr>
                      <w:rFonts w:hint="default" w:ascii="Times New Roman" w:hAnsi="Times New Roman" w:cs="Times New Roman"/>
                      <w:bCs/>
                      <w:sz w:val="18"/>
                      <w:szCs w:val="18"/>
                      <w:lang w:val="en-GB"/>
                    </w:rPr>
                    <w:t>农药残留</w:t>
                  </w:r>
                  <w:r>
                    <w:rPr>
                      <w:rFonts w:hint="default" w:ascii="Times New Roman" w:hAnsi="Times New Roman" w:cs="Times New Roman"/>
                      <w:bCs/>
                      <w:sz w:val="18"/>
                      <w:szCs w:val="18"/>
                    </w:rPr>
                    <w:t xml:space="preserve"> </w:t>
                  </w:r>
                  <w:r>
                    <w:rPr>
                      <w:rFonts w:hint="default" w:ascii="Times New Roman" w:hAnsi="Times New Roman" w:cs="Times New Roman"/>
                    </w:rPr>
                    <w:sym w:font="Wingdings" w:char="00A8"/>
                  </w:r>
                  <w:r>
                    <w:rPr>
                      <w:rFonts w:hint="default" w:ascii="Times New Roman" w:hAnsi="Times New Roman" w:cs="Times New Roman"/>
                      <w:bCs/>
                      <w:sz w:val="18"/>
                      <w:szCs w:val="18"/>
                    </w:rPr>
                    <w:t>兽</w:t>
                  </w:r>
                  <w:r>
                    <w:rPr>
                      <w:rFonts w:hint="default" w:ascii="Times New Roman" w:hAnsi="Times New Roman" w:cs="Times New Roman"/>
                      <w:bCs/>
                      <w:sz w:val="18"/>
                      <w:szCs w:val="18"/>
                      <w:lang w:val="en-GB"/>
                    </w:rPr>
                    <w:t>药残留</w:t>
                  </w:r>
                </w:p>
              </w:tc>
              <w:tc>
                <w:tcPr>
                  <w:tcW w:w="3476" w:type="dxa"/>
                  <w:shd w:val="clear" w:color="auto" w:fill="auto"/>
                  <w:vAlign w:val="center"/>
                </w:tcPr>
                <w:p>
                  <w:pPr>
                    <w:autoSpaceDE w:val="0"/>
                    <w:autoSpaceDN w:val="0"/>
                    <w:adjustRightInd w:val="0"/>
                    <w:jc w:val="center"/>
                    <w:rPr>
                      <w:rFonts w:hint="default" w:ascii="Times New Roman" w:hAnsi="Times New Roman" w:cs="Times New Roman"/>
                      <w:bCs/>
                      <w:sz w:val="18"/>
                      <w:szCs w:val="18"/>
                    </w:rPr>
                  </w:pPr>
                  <w:r>
                    <w:rPr>
                      <w:rFonts w:hint="default" w:ascii="Times New Roman" w:hAnsi="Times New Roman" w:cs="Times New Roman"/>
                      <w:sz w:val="18"/>
                      <w:szCs w:val="18"/>
                    </w:rPr>
                    <w:sym w:font="Wingdings" w:char="00FE"/>
                  </w:r>
                  <w:r>
                    <w:rPr>
                      <w:rFonts w:hint="default" w:ascii="Times New Roman" w:hAnsi="Times New Roman" w:cs="Times New Roman"/>
                      <w:bCs/>
                      <w:sz w:val="18"/>
                      <w:szCs w:val="18"/>
                    </w:rPr>
                    <w:t>向供方索取检测报告</w:t>
                  </w:r>
                </w:p>
                <w:p>
                  <w:pPr>
                    <w:autoSpaceDE w:val="0"/>
                    <w:autoSpaceDN w:val="0"/>
                    <w:adjustRightInd w:val="0"/>
                    <w:jc w:val="center"/>
                    <w:rPr>
                      <w:rFonts w:hint="default" w:ascii="Times New Roman" w:hAnsi="Times New Roman" w:cs="Times New Roman"/>
                      <w:bCs/>
                      <w:sz w:val="18"/>
                      <w:szCs w:val="18"/>
                    </w:rPr>
                  </w:pPr>
                  <w:r>
                    <w:rPr>
                      <w:rFonts w:hint="default" w:ascii="Times New Roman" w:hAnsi="Times New Roman" w:cs="Times New Roman"/>
                      <w:bCs/>
                      <w:sz w:val="18"/>
                      <w:szCs w:val="18"/>
                    </w:rPr>
                    <w:t>或</w:t>
                  </w:r>
                  <w:r>
                    <w:rPr>
                      <w:rFonts w:hint="default" w:ascii="Times New Roman" w:hAnsi="Times New Roman" w:cs="Times New Roman"/>
                      <w:sz w:val="18"/>
                      <w:szCs w:val="18"/>
                    </w:rPr>
                    <w:sym w:font="Wingdings" w:char="00FE"/>
                  </w:r>
                  <w:r>
                    <w:rPr>
                      <w:rFonts w:hint="default" w:ascii="Times New Roman" w:hAnsi="Times New Roman" w:cs="Times New Roman"/>
                      <w:bCs/>
                      <w:sz w:val="18"/>
                      <w:szCs w:val="18"/>
                    </w:rPr>
                    <w:t>企业自行检测</w:t>
                  </w:r>
                </w:p>
                <w:p>
                  <w:pPr>
                    <w:autoSpaceDE w:val="0"/>
                    <w:autoSpaceDN w:val="0"/>
                    <w:adjustRightInd w:val="0"/>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bCs/>
                      <w:sz w:val="18"/>
                      <w:szCs w:val="18"/>
                    </w:rPr>
                    <w:sym w:font="Wingdings" w:char="00A8"/>
                  </w:r>
                  <w:r>
                    <w:rPr>
                      <w:rFonts w:hint="default" w:ascii="Times New Roman" w:hAnsi="Times New Roman" w:cs="Times New Roman"/>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shd w:val="clear" w:color="auto" w:fill="auto"/>
                  <w:vAlign w:val="center"/>
                </w:tcPr>
                <w:p>
                  <w:pPr>
                    <w:autoSpaceDE w:val="0"/>
                    <w:autoSpaceDN w:val="0"/>
                    <w:adjustRightInd w:val="0"/>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bCs/>
                      <w:sz w:val="18"/>
                      <w:szCs w:val="18"/>
                    </w:rPr>
                    <w:t>PE膜（内袋）</w:t>
                  </w:r>
                  <w:r>
                    <w:rPr>
                      <w:rFonts w:hint="default" w:ascii="Times New Roman" w:hAnsi="Times New Roman" w:cs="Times New Roman"/>
                      <w:bCs/>
                      <w:sz w:val="18"/>
                      <w:szCs w:val="18"/>
                      <w:lang w:eastAsia="zh-CN"/>
                    </w:rPr>
                    <w:t>、</w:t>
                  </w:r>
                  <w:r>
                    <w:rPr>
                      <w:rFonts w:hint="default" w:ascii="Times New Roman" w:hAnsi="Times New Roman" w:cs="Times New Roman"/>
                      <w:bCs/>
                      <w:sz w:val="18"/>
                      <w:szCs w:val="18"/>
                      <w:lang w:val="en-US" w:eastAsia="zh-CN"/>
                    </w:rPr>
                    <w:t>编织袋</w:t>
                  </w:r>
                </w:p>
              </w:tc>
              <w:tc>
                <w:tcPr>
                  <w:tcW w:w="2905" w:type="dxa"/>
                  <w:shd w:val="clear" w:color="auto" w:fill="auto"/>
                  <w:vAlign w:val="center"/>
                </w:tcPr>
                <w:p>
                  <w:pPr>
                    <w:jc w:val="center"/>
                    <w:rPr>
                      <w:rFonts w:hint="default" w:ascii="Times New Roman" w:hAnsi="Times New Roman" w:cs="Times New Roman"/>
                      <w:bCs/>
                      <w:sz w:val="18"/>
                      <w:szCs w:val="18"/>
                      <w:lang w:val="en-GB"/>
                    </w:rPr>
                  </w:pPr>
                  <w:r>
                    <w:rPr>
                      <w:rFonts w:hint="default" w:ascii="Times New Roman" w:hAnsi="Times New Roman" w:cs="Times New Roman"/>
                      <w:bCs/>
                      <w:sz w:val="18"/>
                      <w:szCs w:val="18"/>
                    </w:rPr>
                    <w:sym w:font="Wingdings" w:char="00A8"/>
                  </w:r>
                  <w:r>
                    <w:rPr>
                      <w:rFonts w:hint="default" w:ascii="Times New Roman" w:hAnsi="Times New Roman" w:cs="Times New Roman"/>
                      <w:bCs/>
                      <w:sz w:val="18"/>
                      <w:szCs w:val="18"/>
                      <w:lang w:val="en-GB"/>
                    </w:rPr>
                    <w:t>有害微生物</w:t>
                  </w:r>
                  <w:r>
                    <w:rPr>
                      <w:rFonts w:hint="default" w:ascii="Times New Roman" w:hAnsi="Times New Roman" w:cs="Times New Roman"/>
                      <w:bCs/>
                      <w:sz w:val="18"/>
                      <w:szCs w:val="18"/>
                    </w:rPr>
                    <w:t xml:space="preserve">  </w:t>
                  </w:r>
                  <w:r>
                    <w:rPr>
                      <w:rFonts w:hint="default" w:ascii="Times New Roman" w:hAnsi="Times New Roman" w:cs="Times New Roman"/>
                      <w:sz w:val="18"/>
                      <w:szCs w:val="18"/>
                    </w:rPr>
                    <w:sym w:font="Wingdings" w:char="00FE"/>
                  </w:r>
                  <w:r>
                    <w:rPr>
                      <w:rFonts w:hint="default" w:ascii="Times New Roman" w:hAnsi="Times New Roman" w:cs="Times New Roman"/>
                      <w:bCs/>
                      <w:sz w:val="18"/>
                      <w:szCs w:val="18"/>
                      <w:lang w:val="en-GB"/>
                    </w:rPr>
                    <w:t>重金属</w:t>
                  </w:r>
                </w:p>
                <w:p>
                  <w:pPr>
                    <w:autoSpaceDE w:val="0"/>
                    <w:autoSpaceDN w:val="0"/>
                    <w:adjustRightInd w:val="0"/>
                    <w:jc w:val="center"/>
                    <w:rPr>
                      <w:rFonts w:hint="default" w:ascii="Times New Roman" w:hAnsi="Times New Roman" w:cs="Times New Roman"/>
                      <w:bCs/>
                      <w:sz w:val="18"/>
                      <w:szCs w:val="18"/>
                      <w:lang w:val="en-GB"/>
                    </w:rPr>
                  </w:pPr>
                  <w:r>
                    <w:rPr>
                      <w:rFonts w:hint="default" w:ascii="Times New Roman" w:hAnsi="Times New Roman" w:cs="Times New Roman"/>
                      <w:bCs/>
                      <w:sz w:val="18"/>
                      <w:szCs w:val="18"/>
                    </w:rPr>
                    <w:sym w:font="Wingdings" w:char="00A8"/>
                  </w:r>
                  <w:r>
                    <w:rPr>
                      <w:rFonts w:hint="default" w:ascii="Times New Roman" w:hAnsi="Times New Roman" w:cs="Times New Roman"/>
                      <w:bCs/>
                      <w:sz w:val="18"/>
                      <w:szCs w:val="18"/>
                      <w:lang w:val="en-GB"/>
                    </w:rPr>
                    <w:t xml:space="preserve">黄曲霉毒素 </w:t>
                  </w:r>
                  <w:r>
                    <w:rPr>
                      <w:rFonts w:hint="default" w:ascii="Times New Roman" w:hAnsi="Times New Roman" w:cs="Times New Roman"/>
                      <w:bCs/>
                      <w:sz w:val="18"/>
                      <w:szCs w:val="18"/>
                    </w:rPr>
                    <w:sym w:font="Wingdings" w:char="00A8"/>
                  </w:r>
                  <w:r>
                    <w:rPr>
                      <w:rFonts w:hint="default" w:ascii="Times New Roman" w:hAnsi="Times New Roman" w:cs="Times New Roman"/>
                      <w:bCs/>
                      <w:sz w:val="18"/>
                      <w:szCs w:val="18"/>
                      <w:lang w:val="en-GB"/>
                    </w:rPr>
                    <w:t>苯并芘</w:t>
                  </w:r>
                </w:p>
                <w:p>
                  <w:pPr>
                    <w:jc w:val="center"/>
                    <w:rPr>
                      <w:rFonts w:hint="default" w:ascii="Times New Roman" w:hAnsi="Times New Roman" w:cs="Times New Roman"/>
                      <w:bCs/>
                      <w:sz w:val="18"/>
                      <w:szCs w:val="18"/>
                      <w:lang w:val="en-GB"/>
                    </w:rPr>
                  </w:pPr>
                  <w:r>
                    <w:rPr>
                      <w:rFonts w:hint="default" w:ascii="Times New Roman" w:hAnsi="Times New Roman" w:cs="Times New Roman"/>
                      <w:bCs/>
                      <w:sz w:val="18"/>
                      <w:szCs w:val="18"/>
                    </w:rPr>
                    <w:sym w:font="Wingdings" w:char="00A8"/>
                  </w:r>
                  <w:r>
                    <w:rPr>
                      <w:rFonts w:hint="default" w:ascii="Times New Roman" w:hAnsi="Times New Roman" w:cs="Times New Roman"/>
                      <w:bCs/>
                      <w:sz w:val="18"/>
                      <w:szCs w:val="18"/>
                      <w:lang w:val="en-GB"/>
                    </w:rPr>
                    <w:t>农药残留</w:t>
                  </w:r>
                  <w:r>
                    <w:rPr>
                      <w:rFonts w:hint="default" w:ascii="Times New Roman" w:hAnsi="Times New Roman" w:cs="Times New Roman"/>
                      <w:bCs/>
                      <w:sz w:val="18"/>
                      <w:szCs w:val="18"/>
                    </w:rPr>
                    <w:t xml:space="preserve">  </w:t>
                  </w:r>
                  <w:r>
                    <w:rPr>
                      <w:rFonts w:hint="default" w:ascii="Times New Roman" w:hAnsi="Times New Roman" w:cs="Times New Roman"/>
                      <w:bCs/>
                      <w:sz w:val="18"/>
                      <w:szCs w:val="18"/>
                    </w:rPr>
                    <w:sym w:font="Wingdings" w:char="00A8"/>
                  </w:r>
                  <w:r>
                    <w:rPr>
                      <w:rFonts w:hint="default" w:ascii="Times New Roman" w:hAnsi="Times New Roman" w:cs="Times New Roman"/>
                      <w:bCs/>
                      <w:sz w:val="18"/>
                      <w:szCs w:val="18"/>
                    </w:rPr>
                    <w:t>兽</w:t>
                  </w:r>
                  <w:r>
                    <w:rPr>
                      <w:rFonts w:hint="default" w:ascii="Times New Roman" w:hAnsi="Times New Roman" w:cs="Times New Roman"/>
                      <w:bCs/>
                      <w:sz w:val="18"/>
                      <w:szCs w:val="18"/>
                      <w:lang w:val="en-GB"/>
                    </w:rPr>
                    <w:t>药残留</w:t>
                  </w:r>
                </w:p>
                <w:p>
                  <w:pPr>
                    <w:jc w:val="center"/>
                    <w:rPr>
                      <w:rFonts w:hint="default" w:ascii="Times New Roman" w:hAnsi="Times New Roman" w:eastAsia="宋体" w:cs="Times New Roman"/>
                      <w:bCs/>
                      <w:kern w:val="2"/>
                      <w:sz w:val="18"/>
                      <w:szCs w:val="18"/>
                      <w:lang w:val="en-GB" w:eastAsia="zh-CN" w:bidi="ar-SA"/>
                    </w:rPr>
                  </w:pPr>
                  <w:r>
                    <w:rPr>
                      <w:rFonts w:hint="default" w:ascii="Times New Roman" w:hAnsi="Times New Roman" w:cs="Times New Roman"/>
                      <w:bCs/>
                      <w:sz w:val="18"/>
                      <w:szCs w:val="18"/>
                    </w:rPr>
                    <w:sym w:font="Wingdings" w:char="00FE"/>
                  </w:r>
                  <w:r>
                    <w:rPr>
                      <w:rFonts w:hint="default" w:ascii="Times New Roman" w:hAnsi="Times New Roman" w:cs="Times New Roman"/>
                      <w:sz w:val="18"/>
                      <w:szCs w:val="18"/>
                    </w:rPr>
                    <w:t>溶剂残留</w:t>
                  </w:r>
                </w:p>
              </w:tc>
              <w:tc>
                <w:tcPr>
                  <w:tcW w:w="3476" w:type="dxa"/>
                  <w:shd w:val="clear" w:color="auto" w:fill="auto"/>
                  <w:vAlign w:val="center"/>
                </w:tcPr>
                <w:p>
                  <w:pPr>
                    <w:autoSpaceDE w:val="0"/>
                    <w:autoSpaceDN w:val="0"/>
                    <w:adjustRightInd w:val="0"/>
                    <w:jc w:val="center"/>
                    <w:rPr>
                      <w:rFonts w:hint="default" w:ascii="Times New Roman" w:hAnsi="Times New Roman" w:cs="Times New Roman"/>
                      <w:bCs/>
                      <w:sz w:val="18"/>
                      <w:szCs w:val="18"/>
                    </w:rPr>
                  </w:pPr>
                  <w:r>
                    <w:rPr>
                      <w:rFonts w:hint="default" w:ascii="Times New Roman" w:hAnsi="Times New Roman" w:cs="Times New Roman"/>
                      <w:sz w:val="18"/>
                      <w:szCs w:val="18"/>
                    </w:rPr>
                    <w:sym w:font="Wingdings" w:char="00FE"/>
                  </w:r>
                  <w:r>
                    <w:rPr>
                      <w:rFonts w:hint="default" w:ascii="Times New Roman" w:hAnsi="Times New Roman" w:cs="Times New Roman"/>
                      <w:bCs/>
                      <w:sz w:val="18"/>
                      <w:szCs w:val="18"/>
                    </w:rPr>
                    <w:t>向供方索取检测报告</w:t>
                  </w:r>
                </w:p>
                <w:p>
                  <w:pPr>
                    <w:autoSpaceDE w:val="0"/>
                    <w:autoSpaceDN w:val="0"/>
                    <w:adjustRightInd w:val="0"/>
                    <w:jc w:val="center"/>
                    <w:rPr>
                      <w:rFonts w:hint="default" w:ascii="Times New Roman" w:hAnsi="Times New Roman" w:cs="Times New Roman"/>
                      <w:bCs/>
                      <w:sz w:val="18"/>
                      <w:szCs w:val="18"/>
                    </w:rPr>
                  </w:pPr>
                  <w:r>
                    <w:rPr>
                      <w:rFonts w:hint="default" w:ascii="Times New Roman" w:hAnsi="Times New Roman" w:cs="Times New Roman"/>
                      <w:bCs/>
                      <w:sz w:val="18"/>
                      <w:szCs w:val="18"/>
                    </w:rPr>
                    <w:sym w:font="Wingdings" w:char="00A8"/>
                  </w:r>
                  <w:r>
                    <w:rPr>
                      <w:rFonts w:hint="default" w:ascii="Times New Roman" w:hAnsi="Times New Roman" w:cs="Times New Roman"/>
                      <w:bCs/>
                      <w:sz w:val="18"/>
                      <w:szCs w:val="18"/>
                    </w:rPr>
                    <w:t>企业自行检测</w:t>
                  </w:r>
                </w:p>
                <w:p>
                  <w:pPr>
                    <w:autoSpaceDE w:val="0"/>
                    <w:autoSpaceDN w:val="0"/>
                    <w:adjustRightInd w:val="0"/>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sz w:val="18"/>
                      <w:szCs w:val="18"/>
                    </w:rPr>
                    <w:sym w:font="Wingdings" w:char="00A8"/>
                  </w:r>
                  <w:r>
                    <w:rPr>
                      <w:rFonts w:hint="default" w:ascii="Times New Roman" w:hAnsi="Times New Roman" w:cs="Times New Roman"/>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05" w:type="dxa"/>
                  <w:shd w:val="clear" w:color="auto" w:fill="auto"/>
                </w:tcPr>
                <w:p>
                  <w:pPr>
                    <w:spacing w:before="156" w:beforeLines="50" w:line="280" w:lineRule="exact"/>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水</w:t>
                  </w:r>
                </w:p>
              </w:tc>
              <w:tc>
                <w:tcPr>
                  <w:tcW w:w="2905" w:type="dxa"/>
                  <w:shd w:val="clear" w:color="auto" w:fill="auto"/>
                  <w:vAlign w:val="center"/>
                </w:tcPr>
                <w:p>
                  <w:pPr>
                    <w:jc w:val="center"/>
                    <w:rPr>
                      <w:rFonts w:hint="default" w:ascii="Times New Roman" w:hAnsi="Times New Roman" w:cs="Times New Roman"/>
                      <w:bCs/>
                      <w:sz w:val="18"/>
                      <w:szCs w:val="18"/>
                      <w:lang w:val="en-GB"/>
                    </w:rPr>
                  </w:pPr>
                  <w:r>
                    <w:rPr>
                      <w:rFonts w:hint="default" w:ascii="Times New Roman" w:hAnsi="Times New Roman" w:cs="Times New Roman"/>
                      <w:bCs/>
                      <w:sz w:val="18"/>
                      <w:szCs w:val="18"/>
                    </w:rPr>
                    <w:sym w:font="Wingdings" w:char="00FE"/>
                  </w:r>
                  <w:r>
                    <w:rPr>
                      <w:rFonts w:hint="default" w:ascii="Times New Roman" w:hAnsi="Times New Roman" w:cs="Times New Roman"/>
                      <w:bCs/>
                      <w:sz w:val="18"/>
                      <w:szCs w:val="18"/>
                      <w:lang w:val="en-GB"/>
                    </w:rPr>
                    <w:t>有害微生物</w:t>
                  </w:r>
                  <w:r>
                    <w:rPr>
                      <w:rFonts w:hint="default" w:ascii="Times New Roman" w:hAnsi="Times New Roman" w:cs="Times New Roman"/>
                      <w:bCs/>
                      <w:sz w:val="18"/>
                      <w:szCs w:val="18"/>
                    </w:rPr>
                    <w:t xml:space="preserve">  </w:t>
                  </w:r>
                  <w:r>
                    <w:rPr>
                      <w:rFonts w:hint="default" w:ascii="Times New Roman" w:hAnsi="Times New Roman" w:cs="Times New Roman"/>
                      <w:sz w:val="18"/>
                      <w:szCs w:val="18"/>
                    </w:rPr>
                    <w:sym w:font="Wingdings" w:char="00FE"/>
                  </w:r>
                  <w:r>
                    <w:rPr>
                      <w:rFonts w:hint="default" w:ascii="Times New Roman" w:hAnsi="Times New Roman" w:cs="Times New Roman"/>
                      <w:bCs/>
                      <w:sz w:val="18"/>
                      <w:szCs w:val="18"/>
                      <w:lang w:val="en-GB"/>
                    </w:rPr>
                    <w:t>重金属</w:t>
                  </w:r>
                </w:p>
                <w:p>
                  <w:pPr>
                    <w:autoSpaceDE w:val="0"/>
                    <w:autoSpaceDN w:val="0"/>
                    <w:adjustRightInd w:val="0"/>
                    <w:jc w:val="center"/>
                    <w:rPr>
                      <w:rFonts w:hint="default" w:ascii="Times New Roman" w:hAnsi="Times New Roman" w:cs="Times New Roman"/>
                      <w:bCs/>
                      <w:sz w:val="18"/>
                      <w:szCs w:val="18"/>
                      <w:lang w:val="en-GB"/>
                    </w:rPr>
                  </w:pPr>
                  <w:r>
                    <w:rPr>
                      <w:rFonts w:hint="default" w:ascii="Times New Roman" w:hAnsi="Times New Roman" w:cs="Times New Roman"/>
                      <w:bCs/>
                      <w:sz w:val="18"/>
                      <w:szCs w:val="18"/>
                    </w:rPr>
                    <w:sym w:font="Wingdings" w:char="00A8"/>
                  </w:r>
                  <w:r>
                    <w:rPr>
                      <w:rFonts w:hint="default" w:ascii="Times New Roman" w:hAnsi="Times New Roman" w:cs="Times New Roman"/>
                      <w:bCs/>
                      <w:sz w:val="18"/>
                      <w:szCs w:val="18"/>
                      <w:lang w:val="en-GB"/>
                    </w:rPr>
                    <w:t xml:space="preserve">黄曲霉毒素 </w:t>
                  </w:r>
                  <w:r>
                    <w:rPr>
                      <w:rFonts w:hint="default" w:ascii="Times New Roman" w:hAnsi="Times New Roman" w:cs="Times New Roman"/>
                      <w:bCs/>
                      <w:sz w:val="18"/>
                      <w:szCs w:val="18"/>
                    </w:rPr>
                    <w:sym w:font="Wingdings" w:char="00A8"/>
                  </w:r>
                  <w:r>
                    <w:rPr>
                      <w:rFonts w:hint="default" w:ascii="Times New Roman" w:hAnsi="Times New Roman" w:cs="Times New Roman"/>
                      <w:bCs/>
                      <w:sz w:val="18"/>
                      <w:szCs w:val="18"/>
                      <w:lang w:val="en-GB"/>
                    </w:rPr>
                    <w:t>苯并芘</w:t>
                  </w:r>
                </w:p>
                <w:p>
                  <w:pPr>
                    <w:jc w:val="center"/>
                    <w:rPr>
                      <w:rFonts w:hint="default" w:ascii="Times New Roman" w:hAnsi="Times New Roman" w:eastAsia="宋体" w:cs="Times New Roman"/>
                      <w:bCs/>
                      <w:kern w:val="2"/>
                      <w:sz w:val="18"/>
                      <w:szCs w:val="18"/>
                      <w:lang w:val="en-GB" w:eastAsia="zh-CN" w:bidi="ar-SA"/>
                    </w:rPr>
                  </w:pPr>
                  <w:r>
                    <w:rPr>
                      <w:rFonts w:hint="default" w:ascii="Times New Roman" w:hAnsi="Times New Roman" w:cs="Times New Roman"/>
                      <w:bCs/>
                      <w:sz w:val="18"/>
                      <w:szCs w:val="18"/>
                    </w:rPr>
                    <w:sym w:font="Wingdings" w:char="00A8"/>
                  </w:r>
                  <w:r>
                    <w:rPr>
                      <w:rFonts w:hint="default" w:ascii="Times New Roman" w:hAnsi="Times New Roman" w:cs="Times New Roman"/>
                      <w:bCs/>
                      <w:sz w:val="18"/>
                      <w:szCs w:val="18"/>
                      <w:lang w:val="en-GB"/>
                    </w:rPr>
                    <w:t>农药残留</w:t>
                  </w:r>
                  <w:r>
                    <w:rPr>
                      <w:rFonts w:hint="default" w:ascii="Times New Roman" w:hAnsi="Times New Roman" w:cs="Times New Roman"/>
                      <w:bCs/>
                      <w:sz w:val="18"/>
                      <w:szCs w:val="18"/>
                    </w:rPr>
                    <w:t xml:space="preserve">  </w:t>
                  </w:r>
                  <w:r>
                    <w:rPr>
                      <w:rFonts w:hint="default" w:ascii="Times New Roman" w:hAnsi="Times New Roman" w:cs="Times New Roman"/>
                      <w:bCs/>
                      <w:sz w:val="18"/>
                      <w:szCs w:val="18"/>
                    </w:rPr>
                    <w:sym w:font="Wingdings" w:char="00A8"/>
                  </w:r>
                  <w:r>
                    <w:rPr>
                      <w:rFonts w:hint="default" w:ascii="Times New Roman" w:hAnsi="Times New Roman" w:cs="Times New Roman"/>
                      <w:bCs/>
                      <w:sz w:val="18"/>
                      <w:szCs w:val="18"/>
                    </w:rPr>
                    <w:t>兽</w:t>
                  </w:r>
                  <w:r>
                    <w:rPr>
                      <w:rFonts w:hint="default" w:ascii="Times New Roman" w:hAnsi="Times New Roman" w:cs="Times New Roman"/>
                      <w:bCs/>
                      <w:sz w:val="18"/>
                      <w:szCs w:val="18"/>
                      <w:lang w:val="en-GB"/>
                    </w:rPr>
                    <w:t>药残留</w:t>
                  </w:r>
                </w:p>
              </w:tc>
              <w:tc>
                <w:tcPr>
                  <w:tcW w:w="3476" w:type="dxa"/>
                  <w:shd w:val="clear" w:color="auto" w:fill="auto"/>
                  <w:vAlign w:val="center"/>
                </w:tcPr>
                <w:p>
                  <w:pPr>
                    <w:autoSpaceDE w:val="0"/>
                    <w:autoSpaceDN w:val="0"/>
                    <w:adjustRightInd w:val="0"/>
                    <w:jc w:val="center"/>
                    <w:rPr>
                      <w:rFonts w:hint="default" w:ascii="Times New Roman" w:hAnsi="Times New Roman" w:cs="Times New Roman"/>
                      <w:bCs/>
                      <w:sz w:val="18"/>
                      <w:szCs w:val="18"/>
                    </w:rPr>
                  </w:pPr>
                  <w:r>
                    <w:rPr>
                      <w:rFonts w:hint="default" w:ascii="Times New Roman" w:hAnsi="Times New Roman" w:cs="Times New Roman"/>
                      <w:sz w:val="18"/>
                      <w:szCs w:val="18"/>
                    </w:rPr>
                    <w:sym w:font="Wingdings" w:char="00A8"/>
                  </w:r>
                  <w:r>
                    <w:rPr>
                      <w:rFonts w:hint="default" w:ascii="Times New Roman" w:hAnsi="Times New Roman" w:cs="Times New Roman"/>
                      <w:bCs/>
                      <w:sz w:val="18"/>
                      <w:szCs w:val="18"/>
                    </w:rPr>
                    <w:t>向供方索取检测报告</w:t>
                  </w:r>
                </w:p>
                <w:p>
                  <w:pPr>
                    <w:autoSpaceDE w:val="0"/>
                    <w:autoSpaceDN w:val="0"/>
                    <w:adjustRightInd w:val="0"/>
                    <w:jc w:val="center"/>
                    <w:rPr>
                      <w:rFonts w:hint="default" w:ascii="Times New Roman" w:hAnsi="Times New Roman" w:eastAsia="宋体" w:cs="Times New Roman"/>
                      <w:bCs/>
                      <w:sz w:val="18"/>
                      <w:szCs w:val="18"/>
                      <w:lang w:eastAsia="zh-CN"/>
                    </w:rPr>
                  </w:pPr>
                  <w:r>
                    <w:rPr>
                      <w:rFonts w:hint="default" w:ascii="Times New Roman" w:hAnsi="Times New Roman" w:cs="Times New Roman"/>
                      <w:bCs/>
                      <w:sz w:val="18"/>
                      <w:szCs w:val="18"/>
                    </w:rPr>
                    <w:sym w:font="Wingdings" w:char="00FE"/>
                  </w:r>
                  <w:r>
                    <w:rPr>
                      <w:rFonts w:hint="default" w:ascii="Times New Roman" w:hAnsi="Times New Roman" w:cs="Times New Roman"/>
                      <w:bCs/>
                      <w:sz w:val="18"/>
                      <w:szCs w:val="18"/>
                    </w:rPr>
                    <w:t>企业自行</w:t>
                  </w:r>
                  <w:r>
                    <w:rPr>
                      <w:rFonts w:hint="default" w:ascii="Times New Roman" w:hAnsi="Times New Roman" w:cs="Times New Roman"/>
                      <w:bCs/>
                      <w:sz w:val="18"/>
                      <w:szCs w:val="18"/>
                      <w:lang w:val="en-US" w:eastAsia="zh-CN"/>
                    </w:rPr>
                    <w:t>送检</w:t>
                  </w:r>
                </w:p>
                <w:p>
                  <w:pPr>
                    <w:autoSpaceDE w:val="0"/>
                    <w:autoSpaceDN w:val="0"/>
                    <w:adjustRightInd w:val="0"/>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sz w:val="18"/>
                      <w:szCs w:val="18"/>
                    </w:rPr>
                    <w:sym w:font="Wingdings" w:char="00A8"/>
                  </w:r>
                  <w:r>
                    <w:rPr>
                      <w:rFonts w:hint="default" w:ascii="Times New Roman" w:hAnsi="Times New Roman" w:cs="Times New Roman"/>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05" w:type="dxa"/>
                  <w:shd w:val="clear" w:color="auto" w:fill="auto"/>
                </w:tcPr>
                <w:p>
                  <w:pPr>
                    <w:autoSpaceDE w:val="0"/>
                    <w:autoSpaceDN w:val="0"/>
                    <w:adjustRightInd w:val="0"/>
                    <w:jc w:val="left"/>
                    <w:rPr>
                      <w:rFonts w:hint="default" w:ascii="Times New Roman" w:hAnsi="Times New Roman" w:cs="Times New Roman" w:eastAsiaTheme="minorEastAsia"/>
                      <w:sz w:val="24"/>
                      <w:szCs w:val="24"/>
                    </w:rPr>
                  </w:pPr>
                </w:p>
              </w:tc>
              <w:tc>
                <w:tcPr>
                  <w:tcW w:w="2905" w:type="dxa"/>
                  <w:shd w:val="clear" w:color="auto" w:fill="auto"/>
                  <w:vAlign w:val="bottom"/>
                </w:tcPr>
                <w:p>
                  <w:pPr>
                    <w:rPr>
                      <w:rFonts w:hint="default" w:ascii="Times New Roman" w:hAnsi="Times New Roman" w:cs="Times New Roman"/>
                      <w:bCs/>
                    </w:rPr>
                  </w:pPr>
                </w:p>
              </w:tc>
              <w:tc>
                <w:tcPr>
                  <w:tcW w:w="3476" w:type="dxa"/>
                  <w:shd w:val="clear" w:color="auto" w:fill="auto"/>
                </w:tcPr>
                <w:p>
                  <w:pPr>
                    <w:autoSpaceDE w:val="0"/>
                    <w:autoSpaceDN w:val="0"/>
                    <w:adjustRightInd w:val="0"/>
                    <w:jc w:val="left"/>
                    <w:rPr>
                      <w:rFonts w:hint="default" w:ascii="Times New Roman" w:hAnsi="Times New Roman" w:cs="Times New Roman"/>
                    </w:rPr>
                  </w:pPr>
                </w:p>
              </w:tc>
            </w:tr>
          </w:tbl>
          <w:p>
            <w:pPr>
              <w:pStyle w:val="2"/>
              <w:rPr>
                <w:rFonts w:hint="eastAsia"/>
                <w:lang w:val="en-GB"/>
              </w:rPr>
            </w:pPr>
          </w:p>
          <w:p>
            <w:pPr>
              <w:pStyle w:val="2"/>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14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eastAsia"/>
                <w:lang w:val="en-GB" w:eastAsia="zh-CN"/>
              </w:rPr>
            </w:pPr>
            <w:r>
              <w:rPr>
                <w:rFonts w:hint="eastAsia"/>
                <w:lang w:val="en-US" w:eastAsia="zh-CN"/>
              </w:rPr>
              <w:t>碳酸钙（重质碳酸钙）</w:t>
            </w:r>
            <w:r>
              <w:rPr>
                <w:rFonts w:hint="eastAsia"/>
              </w:rPr>
              <w:t>OPRP</w:t>
            </w:r>
            <w:r>
              <w:rPr>
                <w:rFonts w:hint="eastAsia"/>
                <w:lang w:val="en-US" w:eastAsia="zh-CN"/>
              </w:rPr>
              <w:t>计划/</w:t>
            </w:r>
            <w:r>
              <w:rPr>
                <w:rFonts w:hint="eastAsia"/>
                <w:lang w:val="en-GB"/>
              </w:rPr>
              <w:t>HACCP计划</w:t>
            </w:r>
            <w:r>
              <w:rPr>
                <w:rFonts w:hint="eastAsia"/>
                <w:lang w:val="en-GB" w:eastAsia="zh-CN"/>
              </w:rPr>
              <w:t>：</w:t>
            </w:r>
          </w:p>
          <w:tbl>
            <w:tblPr>
              <w:tblStyle w:val="11"/>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178"/>
              <w:gridCol w:w="1250"/>
              <w:gridCol w:w="1950"/>
              <w:gridCol w:w="291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72" w:hRule="atLeast"/>
                <w:tblHeader/>
              </w:trPr>
              <w:tc>
                <w:tcPr>
                  <w:tcW w:w="690" w:type="dxa"/>
                  <w:shd w:val="clear" w:color="auto" w:fill="auto"/>
                </w:tcPr>
                <w:p>
                  <w:pPr>
                    <w:pStyle w:val="27"/>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1178" w:type="dxa"/>
                  <w:shd w:val="clear" w:color="auto" w:fill="auto"/>
                </w:tcPr>
                <w:p>
                  <w:pPr>
                    <w:pStyle w:val="27"/>
                    <w:rPr>
                      <w:rFonts w:hint="eastAsia" w:ascii="宋体" w:hAnsi="宋体" w:eastAsia="宋体" w:cs="宋体"/>
                      <w:sz w:val="21"/>
                      <w:szCs w:val="21"/>
                      <w:lang w:eastAsia="zh-CN"/>
                    </w:rPr>
                  </w:pPr>
                  <w:r>
                    <w:rPr>
                      <w:rFonts w:hint="eastAsia" w:ascii="宋体" w:hAnsi="宋体" w:eastAsia="宋体" w:cs="宋体"/>
                      <w:sz w:val="21"/>
                      <w:szCs w:val="21"/>
                      <w:lang w:eastAsia="zh-CN"/>
                    </w:rPr>
                    <w:t>过程步骤</w:t>
                  </w:r>
                </w:p>
              </w:tc>
              <w:tc>
                <w:tcPr>
                  <w:tcW w:w="1250" w:type="dxa"/>
                  <w:shd w:val="clear" w:color="auto" w:fill="auto"/>
                </w:tcPr>
                <w:p>
                  <w:pPr>
                    <w:pStyle w:val="27"/>
                    <w:rPr>
                      <w:rFonts w:hint="eastAsia" w:ascii="宋体" w:hAnsi="宋体" w:eastAsia="宋体" w:cs="宋体"/>
                      <w:sz w:val="21"/>
                      <w:szCs w:val="21"/>
                      <w:lang w:eastAsia="zh-CN"/>
                    </w:rPr>
                  </w:pPr>
                  <w:r>
                    <w:rPr>
                      <w:rFonts w:hint="eastAsia" w:ascii="宋体" w:hAnsi="宋体" w:eastAsia="宋体" w:cs="宋体"/>
                      <w:sz w:val="21"/>
                      <w:szCs w:val="21"/>
                      <w:lang w:eastAsia="zh-CN"/>
                    </w:rPr>
                    <w:t>危害</w:t>
                  </w:r>
                </w:p>
              </w:tc>
              <w:tc>
                <w:tcPr>
                  <w:tcW w:w="1950" w:type="dxa"/>
                  <w:shd w:val="clear" w:color="auto" w:fill="auto"/>
                </w:tcPr>
                <w:p>
                  <w:pPr>
                    <w:pStyle w:val="27"/>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监控程序</w:t>
                  </w:r>
                </w:p>
              </w:tc>
              <w:tc>
                <w:tcPr>
                  <w:tcW w:w="2912" w:type="dxa"/>
                  <w:shd w:val="clear" w:color="auto" w:fill="auto"/>
                </w:tcPr>
                <w:p>
                  <w:pPr>
                    <w:pStyle w:val="2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行动准则</w:t>
                  </w:r>
                </w:p>
              </w:tc>
              <w:tc>
                <w:tcPr>
                  <w:tcW w:w="716" w:type="dxa"/>
                  <w:shd w:val="clear" w:color="auto" w:fill="auto"/>
                </w:tcPr>
                <w:p>
                  <w:pPr>
                    <w:pStyle w:val="27"/>
                    <w:rPr>
                      <w:rFonts w:hint="eastAsia" w:ascii="宋体" w:hAnsi="宋体" w:eastAsia="宋体" w:cs="宋体"/>
                      <w:sz w:val="21"/>
                      <w:szCs w:val="21"/>
                      <w:lang w:val="fr-FR" w:eastAsia="zh-CN"/>
                    </w:rPr>
                  </w:pPr>
                  <w:r>
                    <w:rPr>
                      <w:rFonts w:hint="eastAsia" w:ascii="宋体" w:hAnsi="宋体" w:eastAsia="宋体" w:cs="宋体"/>
                      <w:sz w:val="21"/>
                      <w:szCs w:val="21"/>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74" w:hRule="atLeast"/>
              </w:trPr>
              <w:tc>
                <w:tcPr>
                  <w:tcW w:w="690" w:type="dxa"/>
                  <w:vMerge w:val="restart"/>
                  <w:tcBorders>
                    <w:top w:val="single" w:color="auto" w:sz="4" w:space="0"/>
                    <w:left w:val="single" w:color="auto" w:sz="4" w:space="0"/>
                    <w:right w:val="single" w:color="auto" w:sz="4" w:space="0"/>
                  </w:tcBorders>
                  <w:shd w:val="clear" w:color="auto" w:fill="auto"/>
                </w:tcPr>
                <w:p>
                  <w:pPr>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18"/>
                      <w:szCs w:val="18"/>
                      <w:lang w:val="en-US" w:eastAsia="zh-CN"/>
                    </w:rPr>
                    <w:t>OPRP1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方解石验收</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宋体" w:hAnsi="宋体" w:eastAsia="宋体" w:cs="宋体"/>
                      <w:sz w:val="18"/>
                      <w:szCs w:val="18"/>
                      <w:lang w:val="fr-FR" w:eastAsia="zh-CN"/>
                    </w:rPr>
                  </w:pPr>
                  <w:r>
                    <w:rPr>
                      <w:rFonts w:hint="eastAsia" w:ascii="宋体" w:hAnsi="宋体" w:eastAsia="宋体" w:cs="宋体"/>
                      <w:color w:val="000000"/>
                      <w:kern w:val="0"/>
                      <w:sz w:val="18"/>
                      <w:szCs w:val="18"/>
                      <w:lang w:val="en-US" w:eastAsia="zh-CN" w:bidi="ar"/>
                    </w:rPr>
                    <w:t>化学的：重金属等超标</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品管员每年审查供应商资质证明；品管员每批</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审查产品合格证明</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或检验报告数据</w:t>
                  </w:r>
                </w:p>
              </w:tc>
              <w:tc>
                <w:tcPr>
                  <w:tcW w:w="2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1、每年进行合格供方评定;2、索取三方检测报告或公司送检，验证安全性指标符合要求;3、入厂检验时确认来自合格供方;按进货检验要求检验合格入厂；</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sz w:val="18"/>
                      <w:szCs w:val="18"/>
                      <w:lang w:val="fr-FR" w:eastAsia="zh-CN"/>
                    </w:rPr>
                  </w:pPr>
                  <w:r>
                    <w:rPr>
                      <w:rFonts w:hint="eastAsia" w:ascii="宋体" w:hAnsi="宋体" w:eastAsia="宋体" w:cs="宋体"/>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90" w:type="dxa"/>
                  <w:vMerge w:val="continue"/>
                  <w:tcBorders>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p>
              </w:tc>
              <w:tc>
                <w:tcPr>
                  <w:tcW w:w="117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塑料包装袋</w:t>
                  </w:r>
                </w:p>
              </w:tc>
              <w:tc>
                <w:tcPr>
                  <w:tcW w:w="12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8"/>
                      <w:szCs w:val="18"/>
                      <w:lang w:val="en-US" w:eastAsia="zh-CN" w:bidi="ar"/>
                    </w:rPr>
                    <w:t>化学的：重金</w:t>
                  </w:r>
                </w:p>
                <w:p>
                  <w:pPr>
                    <w:keepNext w:val="0"/>
                    <w:keepLines w:val="0"/>
                    <w:widowControl/>
                    <w:suppressLineNumbers w:val="0"/>
                    <w:jc w:val="left"/>
                    <w:rPr>
                      <w:rFonts w:hint="eastAsia" w:ascii="宋体" w:hAnsi="宋体" w:eastAsia="宋体" w:cs="宋体"/>
                      <w:sz w:val="21"/>
                      <w:szCs w:val="21"/>
                      <w:lang w:eastAsia="zh-CN"/>
                    </w:rPr>
                  </w:pPr>
                  <w:r>
                    <w:rPr>
                      <w:rFonts w:hint="eastAsia" w:ascii="宋体" w:hAnsi="宋体" w:eastAsia="宋体" w:cs="宋体"/>
                      <w:color w:val="000000"/>
                      <w:kern w:val="0"/>
                      <w:sz w:val="18"/>
                      <w:szCs w:val="18"/>
                      <w:lang w:val="en-US" w:eastAsia="zh-CN" w:bidi="ar"/>
                    </w:rPr>
                    <w:t>属、溶剂残留等超标</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sz w:val="21"/>
                      <w:szCs w:val="21"/>
                      <w:lang w:val="en-US" w:eastAsia="zh-CN"/>
                    </w:rPr>
                  </w:pPr>
                  <w:r>
                    <w:rPr>
                      <w:rFonts w:hint="eastAsia" w:ascii="宋体" w:hAnsi="宋体" w:eastAsia="宋体" w:cs="宋体"/>
                      <w:sz w:val="18"/>
                      <w:szCs w:val="18"/>
                      <w:lang w:val="en-US" w:eastAsia="zh-CN"/>
                    </w:rPr>
                    <w:t>品管员每年审查供应商资质证明、产品合格证明文件</w:t>
                  </w:r>
                </w:p>
              </w:tc>
              <w:tc>
                <w:tcPr>
                  <w:tcW w:w="2912"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lang w:val="en-US" w:eastAsia="zh-CN"/>
                    </w:rPr>
                    <w:t xml:space="preserve">1、从合格供方进货 </w:t>
                  </w:r>
                </w:p>
                <w:p>
                  <w:pPr>
                    <w:spacing w:line="280" w:lineRule="exact"/>
                    <w:jc w:val="left"/>
                    <w:rPr>
                      <w:rFonts w:hint="eastAsia" w:ascii="宋体" w:hAnsi="宋体" w:eastAsia="宋体" w:cs="宋体"/>
                      <w:sz w:val="18"/>
                      <w:szCs w:val="18"/>
                    </w:rPr>
                  </w:pPr>
                  <w:r>
                    <w:rPr>
                      <w:rFonts w:hint="eastAsia" w:ascii="宋体" w:hAnsi="宋体" w:eastAsia="宋体" w:cs="宋体"/>
                      <w:sz w:val="18"/>
                      <w:szCs w:val="18"/>
                      <w:lang w:val="en-US" w:eastAsia="zh-CN"/>
                    </w:rPr>
                    <w:t xml:space="preserve">2、每批提供进货批次原料合格证明 </w:t>
                  </w:r>
                </w:p>
                <w:p>
                  <w:pPr>
                    <w:spacing w:line="280" w:lineRule="exact"/>
                    <w:jc w:val="left"/>
                    <w:rPr>
                      <w:rFonts w:hint="eastAsia" w:ascii="宋体" w:hAnsi="宋体" w:eastAsia="宋体" w:cs="宋体"/>
                      <w:sz w:val="21"/>
                      <w:szCs w:val="21"/>
                    </w:rPr>
                  </w:pPr>
                  <w:r>
                    <w:rPr>
                      <w:rFonts w:hint="eastAsia" w:ascii="宋体" w:hAnsi="宋体" w:eastAsia="宋体" w:cs="宋体"/>
                      <w:sz w:val="18"/>
                      <w:szCs w:val="18"/>
                      <w:lang w:val="en-US" w:eastAsia="zh-CN"/>
                    </w:rPr>
                    <w:t xml:space="preserve">3、每年提供第三方检验证明 </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bl>
          <w:p>
            <w:pPr>
              <w:pStyle w:val="2"/>
              <w:rPr>
                <w:rFonts w:hint="default"/>
                <w:lang w:val="en-US" w:eastAsia="zh-CN"/>
              </w:rPr>
            </w:pPr>
            <w:r>
              <w:rPr>
                <w:rFonts w:hint="eastAsia"/>
                <w:lang w:val="en-GB" w:eastAsia="zh-CN"/>
              </w:rPr>
              <w:t xml:space="preserve"> 查2021.06.29日矿石验收记录，检测了Mn指标，符合客户要求。但未针对该批次产品的碳酸钙、铅、砷等指标进行检测，不符合OPRP控制要求。</w:t>
            </w:r>
            <w:r>
              <w:rPr>
                <w:rFonts w:hint="eastAsia"/>
                <w:lang w:val="en-US" w:eastAsia="zh-CN"/>
              </w:rPr>
              <w:t>见不符合项报告02</w:t>
            </w:r>
          </w:p>
          <w:p>
            <w:pPr>
              <w:pStyle w:val="2"/>
              <w:ind w:left="0" w:leftChars="0" w:firstLine="0" w:firstLineChars="0"/>
              <w:rPr>
                <w:rFonts w:hint="eastAsia"/>
                <w:lang w:val="en-GB" w:eastAsia="zh-CN"/>
              </w:rPr>
            </w:pPr>
          </w:p>
          <w:p>
            <w:pPr>
              <w:pStyle w:val="2"/>
              <w:rPr>
                <w:rFonts w:hint="eastAsia"/>
                <w:lang w:val="en-GB" w:eastAsia="zh-CN"/>
              </w:rPr>
            </w:pPr>
          </w:p>
          <w:tbl>
            <w:tblPr>
              <w:tblStyle w:val="11"/>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058"/>
              <w:gridCol w:w="1310"/>
              <w:gridCol w:w="274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2" w:hRule="atLeast"/>
                <w:tblHeader/>
              </w:trPr>
              <w:tc>
                <w:tcPr>
                  <w:tcW w:w="690"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1058"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过程步骤</w:t>
                  </w:r>
                </w:p>
              </w:tc>
              <w:tc>
                <w:tcPr>
                  <w:tcW w:w="1310"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危害</w:t>
                  </w:r>
                </w:p>
              </w:tc>
              <w:tc>
                <w:tcPr>
                  <w:tcW w:w="2740"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监控程序</w:t>
                  </w:r>
                </w:p>
              </w:tc>
              <w:tc>
                <w:tcPr>
                  <w:tcW w:w="2182" w:type="dxa"/>
                  <w:shd w:val="clear" w:color="auto" w:fill="auto"/>
                </w:tcPr>
                <w:p>
                  <w:pPr>
                    <w:pStyle w:val="27"/>
                    <w:rPr>
                      <w:rFonts w:hint="default" w:ascii="宋体" w:hAnsi="宋体" w:eastAsia="宋体" w:cs="宋体"/>
                      <w:sz w:val="18"/>
                      <w:szCs w:val="18"/>
                      <w:lang w:val="en-US" w:eastAsia="zh-CN"/>
                    </w:rPr>
                  </w:pPr>
                  <w:r>
                    <w:rPr>
                      <w:rFonts w:hint="eastAsia" w:ascii="宋体" w:hAnsi="宋体" w:eastAsia="宋体" w:cs="宋体"/>
                      <w:sz w:val="18"/>
                      <w:szCs w:val="18"/>
                      <w:lang w:val="fr-FR" w:eastAsia="zh-CN"/>
                    </w:rPr>
                    <w:t xml:space="preserve"> </w:t>
                  </w:r>
                  <w:r>
                    <w:rPr>
                      <w:rFonts w:hint="eastAsia" w:ascii="宋体" w:hAnsi="宋体" w:eastAsia="宋体" w:cs="宋体"/>
                      <w:sz w:val="18"/>
                      <w:szCs w:val="18"/>
                      <w:lang w:val="en-US" w:eastAsia="zh-CN"/>
                    </w:rPr>
                    <w:t>CL</w:t>
                  </w:r>
                </w:p>
              </w:tc>
              <w:tc>
                <w:tcPr>
                  <w:tcW w:w="716" w:type="dxa"/>
                  <w:shd w:val="clear" w:color="auto" w:fill="auto"/>
                </w:tcPr>
                <w:p>
                  <w:pPr>
                    <w:pStyle w:val="27"/>
                    <w:rPr>
                      <w:rFonts w:hint="eastAsia" w:ascii="宋体" w:hAnsi="宋体" w:eastAsia="宋体" w:cs="宋体"/>
                      <w:sz w:val="18"/>
                      <w:szCs w:val="18"/>
                      <w:lang w:val="fr-FR" w:eastAsia="zh-CN"/>
                    </w:rPr>
                  </w:pPr>
                  <w:r>
                    <w:rPr>
                      <w:rFonts w:hint="eastAsia" w:ascii="宋体" w:hAnsi="宋体" w:eastAsia="宋体" w:cs="宋体"/>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CCP1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lang w:val="en-US" w:eastAsia="zh-CN"/>
                    </w:rPr>
                    <w:t>分级（生产车间）</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000000"/>
                      <w:kern w:val="0"/>
                      <w:sz w:val="18"/>
                      <w:szCs w:val="18"/>
                      <w:lang w:val="en-US" w:eastAsia="zh-CN" w:bidi="ar"/>
                    </w:rPr>
                    <w:t>金属等异物</w:t>
                  </w:r>
                </w:p>
              </w:tc>
              <w:tc>
                <w:tcPr>
                  <w:tcW w:w="2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操作员每批监控选粉机设备的转速</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选粉机</w:t>
                  </w:r>
                  <w:r>
                    <w:rPr>
                      <w:rFonts w:hint="default" w:ascii="Times New Roman" w:hAnsi="Times New Roman" w:cs="Times New Roman"/>
                      <w:kern w:val="2"/>
                      <w:sz w:val="18"/>
                      <w:szCs w:val="18"/>
                      <w:highlight w:val="none"/>
                      <w:lang w:val="en-US" w:eastAsia="zh-CN" w:bidi="ar-SA"/>
                    </w:rPr>
                    <w:t>电流：电流20-40HZ，目数400-2500</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Times New Roman" w:hAnsi="Times New Roman" w:eastAsia="宋体" w:cs="Times New Roman"/>
                      <w:color w:val="0000FF"/>
                      <w:sz w:val="18"/>
                      <w:szCs w:val="18"/>
                      <w:lang w:val="en-US" w:eastAsia="zh-CN"/>
                    </w:rPr>
                  </w:pPr>
                  <w:r>
                    <w:rPr>
                      <w:rFonts w:hint="eastAsia" w:ascii="Times New Roman" w:hAnsi="Times New Roman" w:cs="Times New Roman"/>
                      <w:color w:val="0000FF"/>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CCP2</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成品检验入库</w:t>
                  </w:r>
                </w:p>
              </w:tc>
              <w:tc>
                <w:tcPr>
                  <w:tcW w:w="13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w:hAnsi="Times New Roman" w:cs="Times New Roman"/>
                      <w:color w:val="auto"/>
                    </w:rPr>
                  </w:pPr>
                  <w:r>
                    <w:rPr>
                      <w:rFonts w:hint="default" w:ascii="Times New Roman" w:hAnsi="Times New Roman" w:eastAsia="宋体" w:cs="Times New Roman"/>
                      <w:color w:val="auto"/>
                      <w:kern w:val="0"/>
                      <w:sz w:val="18"/>
                      <w:szCs w:val="18"/>
                      <w:lang w:val="en-US" w:eastAsia="zh-CN" w:bidi="ar"/>
                    </w:rPr>
                    <w:t>重金属超标</w:t>
                  </w:r>
                </w:p>
                <w:p>
                  <w:pPr>
                    <w:jc w:val="left"/>
                    <w:rPr>
                      <w:rFonts w:hint="default" w:ascii="Times New Roman" w:hAnsi="Times New Roman" w:eastAsia="宋体" w:cs="Times New Roman"/>
                      <w:color w:val="auto"/>
                      <w:sz w:val="18"/>
                      <w:szCs w:val="18"/>
                    </w:rPr>
                  </w:pPr>
                </w:p>
              </w:tc>
              <w:tc>
                <w:tcPr>
                  <w:tcW w:w="27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w:hAnsi="Times New Roman" w:eastAsia="宋体" w:cs="Times New Roman"/>
                      <w:bCs/>
                      <w:color w:val="auto"/>
                      <w:sz w:val="18"/>
                      <w:szCs w:val="18"/>
                      <w:lang w:val="en-US" w:eastAsia="zh-CN"/>
                    </w:rPr>
                  </w:pPr>
                  <w:r>
                    <w:rPr>
                      <w:rFonts w:hint="default" w:ascii="Times New Roman" w:hAnsi="Times New Roman" w:cs="Times New Roman"/>
                      <w:bCs/>
                      <w:color w:val="auto"/>
                      <w:sz w:val="18"/>
                      <w:szCs w:val="18"/>
                      <w:lang w:val="en-US" w:eastAsia="zh-CN"/>
                    </w:rPr>
                    <w:t>检验员每批检测成品</w:t>
                  </w:r>
                  <w:r>
                    <w:rPr>
                      <w:rFonts w:hint="default" w:ascii="Times New Roman" w:hAnsi="Times New Roman" w:eastAsia="宋体" w:cs="Times New Roman"/>
                      <w:color w:val="auto"/>
                      <w:kern w:val="0"/>
                      <w:sz w:val="18"/>
                      <w:szCs w:val="18"/>
                      <w:lang w:val="en-US" w:eastAsia="zh-CN" w:bidi="ar"/>
                    </w:rPr>
                    <w:t>铅、砷等指标，</w:t>
                  </w:r>
                </w:p>
              </w:tc>
              <w:tc>
                <w:tcPr>
                  <w:tcW w:w="218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w:hAnsi="Times New Roman" w:eastAsia="宋体" w:cs="Times New Roman"/>
                      <w:color w:val="0000FF"/>
                      <w:sz w:val="18"/>
                      <w:szCs w:val="18"/>
                    </w:rPr>
                  </w:pPr>
                  <w:r>
                    <w:rPr>
                      <w:rFonts w:hint="default" w:ascii="Times New Roman" w:hAnsi="Times New Roman" w:eastAsia="宋体" w:cs="Times New Roman"/>
                      <w:color w:val="000000"/>
                      <w:kern w:val="0"/>
                      <w:sz w:val="18"/>
                      <w:szCs w:val="18"/>
                      <w:lang w:val="en-US" w:eastAsia="zh-CN" w:bidi="ar"/>
                    </w:rPr>
                    <w:t>成品中铅、砷等指标符合 GB1886.214- 2016 标准要求</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Times New Roman" w:hAnsi="Times New Roman" w:eastAsia="宋体" w:cs="Times New Roman"/>
                      <w:color w:val="0000FF"/>
                      <w:sz w:val="18"/>
                      <w:szCs w:val="18"/>
                      <w:lang w:val="en-US" w:eastAsia="zh-CN"/>
                    </w:rPr>
                  </w:pPr>
                  <w:r>
                    <w:rPr>
                      <w:rFonts w:hint="default" w:ascii="Times New Roman" w:hAnsi="Times New Roman" w:cs="Times New Roman"/>
                      <w:color w:val="0000FF"/>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0" w:type="auto"/>
                </w:tcPr>
                <w:p>
                  <w:pPr>
                    <w:rPr>
                      <w:rFonts w:hint="default" w:ascii="宋体" w:hAnsi="宋体" w:eastAsia="宋体" w:cs="宋体"/>
                      <w:color w:val="0000FF"/>
                      <w:sz w:val="18"/>
                      <w:szCs w:val="18"/>
                      <w:lang w:val="en-US" w:eastAsia="zh-CN"/>
                    </w:rPr>
                  </w:pPr>
                </w:p>
              </w:tc>
              <w:tc>
                <w:tcPr>
                  <w:tcW w:w="0" w:type="auto"/>
                  <w:vAlign w:val="top"/>
                </w:tcPr>
                <w:p>
                  <w:pPr>
                    <w:rPr>
                      <w:rFonts w:hint="eastAsia" w:ascii="Times New Roman" w:hAnsi="Times New Roman" w:eastAsia="宋体" w:cs="Times New Roman"/>
                      <w:kern w:val="2"/>
                      <w:sz w:val="21"/>
                      <w:szCs w:val="21"/>
                      <w:highlight w:val="none"/>
                      <w:lang w:val="en-US" w:eastAsia="zh-CN" w:bidi="ar-SA"/>
                    </w:rPr>
                  </w:pPr>
                </w:p>
              </w:tc>
              <w:tc>
                <w:tcPr>
                  <w:tcW w:w="1310" w:type="dxa"/>
                </w:tcPr>
                <w:p>
                  <w:pPr>
                    <w:jc w:val="left"/>
                    <w:rPr>
                      <w:rFonts w:hint="eastAsia" w:ascii="宋体" w:hAnsi="宋体" w:eastAsia="宋体" w:cs="宋体"/>
                      <w:color w:val="0000FF"/>
                      <w:sz w:val="18"/>
                      <w:szCs w:val="18"/>
                    </w:rPr>
                  </w:pPr>
                </w:p>
              </w:tc>
              <w:tc>
                <w:tcPr>
                  <w:tcW w:w="2740" w:type="dxa"/>
                </w:tcPr>
                <w:p>
                  <w:pPr>
                    <w:jc w:val="left"/>
                    <w:rPr>
                      <w:rFonts w:hint="eastAsia" w:ascii="宋体" w:hAnsi="宋体" w:eastAsia="宋体" w:cs="宋体"/>
                      <w:bCs/>
                      <w:color w:val="0000FF"/>
                      <w:sz w:val="18"/>
                      <w:szCs w:val="18"/>
                    </w:rPr>
                  </w:pPr>
                </w:p>
              </w:tc>
              <w:tc>
                <w:tcPr>
                  <w:tcW w:w="0" w:type="auto"/>
                </w:tcPr>
                <w:p>
                  <w:pPr>
                    <w:spacing w:line="280" w:lineRule="exact"/>
                    <w:jc w:val="left"/>
                    <w:rPr>
                      <w:rFonts w:hint="eastAsia" w:ascii="宋体" w:hAnsi="宋体" w:eastAsia="宋体" w:cs="宋体"/>
                      <w:color w:val="0000FF"/>
                      <w:sz w:val="18"/>
                      <w:szCs w:val="18"/>
                    </w:rPr>
                  </w:pPr>
                </w:p>
              </w:tc>
              <w:tc>
                <w:tcPr>
                  <w:tcW w:w="0" w:type="auto"/>
                </w:tcPr>
                <w:p>
                  <w:pPr>
                    <w:jc w:val="center"/>
                    <w:rPr>
                      <w:rFonts w:hint="eastAsia" w:ascii="宋体" w:hAnsi="宋体" w:eastAsia="宋体" w:cs="宋体"/>
                      <w:color w:val="0000FF"/>
                      <w:sz w:val="18"/>
                      <w:szCs w:val="18"/>
                    </w:rPr>
                  </w:pPr>
                </w:p>
              </w:tc>
            </w:tr>
          </w:tbl>
          <w:p>
            <w:pPr>
              <w:pStyle w:val="2"/>
              <w:rPr>
                <w:rFonts w:hint="default"/>
                <w:color w:val="FF0000"/>
                <w:lang w:val="en-US" w:eastAsia="zh-CN"/>
              </w:rPr>
            </w:pPr>
            <w:r>
              <w:rPr>
                <w:rFonts w:hint="eastAsia"/>
                <w:lang w:val="en-GB" w:eastAsia="zh-CN"/>
              </w:rPr>
              <w:t xml:space="preserve"> </w:t>
            </w:r>
            <w:r>
              <w:rPr>
                <w:rFonts w:hint="eastAsia"/>
                <w:color w:val="FF0000"/>
                <w:lang w:val="en-GB" w:eastAsia="zh-CN"/>
              </w:rPr>
              <w:t>未能提供2109065批次重钙的选粉过程（CCP点）的选粉机电流控制记录。</w:t>
            </w:r>
            <w:r>
              <w:rPr>
                <w:rFonts w:hint="eastAsia"/>
                <w:color w:val="FF0000"/>
                <w:lang w:val="en-US" w:eastAsia="zh-CN"/>
              </w:rPr>
              <w:t>见不符合报告03</w:t>
            </w:r>
          </w:p>
          <w:p>
            <w:pPr>
              <w:pStyle w:val="2"/>
              <w:rPr>
                <w:rFonts w:hint="eastAsia"/>
                <w:lang w:val="en-GB" w:eastAsia="zh-CN"/>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A8"/>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电子天平、原子吸收分光光度计等</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229"/>
              <w:gridCol w:w="216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4" w:type="dxa"/>
                </w:tcPr>
                <w:p>
                  <w:r>
                    <w:rPr>
                      <w:rFonts w:hint="eastAsia"/>
                    </w:rPr>
                    <w:t>计量器具名称</w:t>
                  </w:r>
                </w:p>
              </w:tc>
              <w:tc>
                <w:tcPr>
                  <w:tcW w:w="2229" w:type="dxa"/>
                </w:tcPr>
                <w:p>
                  <w:r>
                    <w:rPr>
                      <w:rFonts w:hint="eastAsia"/>
                    </w:rPr>
                    <w:t>检定或校准证书编号</w:t>
                  </w:r>
                </w:p>
              </w:tc>
              <w:tc>
                <w:tcPr>
                  <w:tcW w:w="2165" w:type="dxa"/>
                </w:tcPr>
                <w:p>
                  <w:r>
                    <w:rPr>
                      <w:rFonts w:hint="eastAsia"/>
                    </w:rPr>
                    <w:t>有限期限至</w:t>
                  </w:r>
                </w:p>
              </w:tc>
              <w:tc>
                <w:tcPr>
                  <w:tcW w:w="2535"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r>
                    <w:rPr>
                      <w:rFonts w:hint="eastAsia"/>
                    </w:rPr>
                    <w:t>电子天平(</w:t>
                  </w:r>
                  <w:r>
                    <w:t>FA2004</w:t>
                  </w:r>
                  <w:r>
                    <w:rPr>
                      <w:rFonts w:hint="eastAsia"/>
                    </w:rPr>
                    <w:t>)</w:t>
                  </w:r>
                </w:p>
              </w:tc>
              <w:tc>
                <w:tcPr>
                  <w:tcW w:w="2229" w:type="dxa"/>
                </w:tcPr>
                <w:p>
                  <w:pPr>
                    <w:jc w:val="left"/>
                  </w:pPr>
                  <w:r>
                    <w:t>KW21026240001</w:t>
                  </w:r>
                </w:p>
              </w:tc>
              <w:tc>
                <w:tcPr>
                  <w:tcW w:w="2165" w:type="dxa"/>
                </w:tcPr>
                <w:p>
                  <w:r>
                    <w:rPr>
                      <w:rFonts w:hint="eastAsia"/>
                    </w:rPr>
                    <w:t>202</w:t>
                  </w:r>
                  <w:r>
                    <w:t>1-06-25</w:t>
                  </w:r>
                  <w:r>
                    <w:rPr>
                      <w:rFonts w:hint="eastAsia"/>
                    </w:rPr>
                    <w:t>校准时间</w:t>
                  </w:r>
                </w:p>
              </w:tc>
              <w:tc>
                <w:tcPr>
                  <w:tcW w:w="2535"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r>
                    <w:rPr>
                      <w:rFonts w:hint="eastAsia"/>
                    </w:rPr>
                    <w:t>电子吊秤（</w:t>
                  </w:r>
                  <w:r>
                    <w:t>OCS-3</w:t>
                  </w:r>
                  <w:r>
                    <w:rPr>
                      <w:rFonts w:hint="eastAsia"/>
                    </w:rPr>
                    <w:t>）</w:t>
                  </w:r>
                </w:p>
              </w:tc>
              <w:tc>
                <w:tcPr>
                  <w:tcW w:w="2229" w:type="dxa"/>
                </w:tcPr>
                <w:p>
                  <w:r>
                    <w:rPr>
                      <w:rFonts w:hint="eastAsia"/>
                    </w:rPr>
                    <w:t>J</w:t>
                  </w:r>
                  <w:r>
                    <w:t>L21003856</w:t>
                  </w:r>
                </w:p>
              </w:tc>
              <w:tc>
                <w:tcPr>
                  <w:tcW w:w="2165" w:type="dxa"/>
                </w:tcPr>
                <w:p>
                  <w:r>
                    <w:rPr>
                      <w:rFonts w:hint="eastAsia"/>
                    </w:rPr>
                    <w:t>202</w:t>
                  </w:r>
                  <w:r>
                    <w:t>2</w:t>
                  </w:r>
                  <w:r>
                    <w:rPr>
                      <w:rFonts w:hint="eastAsia"/>
                    </w:rPr>
                    <w:t>-</w:t>
                  </w:r>
                  <w:r>
                    <w:t>07</w:t>
                  </w:r>
                  <w:r>
                    <w:rPr>
                      <w:rFonts w:hint="eastAsia"/>
                    </w:rPr>
                    <w:t>-</w:t>
                  </w:r>
                  <w:r>
                    <w:t>26</w:t>
                  </w:r>
                </w:p>
              </w:tc>
              <w:tc>
                <w:tcPr>
                  <w:tcW w:w="2535" w:type="dxa"/>
                </w:tcPr>
                <w:p>
                  <w:r>
                    <w:rPr>
                      <w:rFonts w:hint="eastAsia"/>
                    </w:rPr>
                    <w:sym w:font="Wingdings" w:char="00FE"/>
                  </w:r>
                  <w:r>
                    <w:rPr>
                      <w:rFonts w:hint="eastAsia"/>
                    </w:rPr>
                    <w:t>加工间</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r>
                    <w:rPr>
                      <w:rFonts w:hint="eastAsia"/>
                    </w:rPr>
                    <w:t>标准筛（0</w:t>
                  </w:r>
                  <w:r>
                    <w:t>.</w:t>
                  </w:r>
                  <w:r>
                    <w:rPr>
                      <w:rFonts w:hint="eastAsia"/>
                    </w:rPr>
                    <w:t>0</w:t>
                  </w:r>
                  <w:r>
                    <w:t>25</w:t>
                  </w:r>
                  <w:r>
                    <w:rPr>
                      <w:rFonts w:hint="eastAsia"/>
                    </w:rPr>
                    <w:t>mm）</w:t>
                  </w:r>
                </w:p>
              </w:tc>
              <w:tc>
                <w:tcPr>
                  <w:tcW w:w="2229" w:type="dxa"/>
                </w:tcPr>
                <w:p>
                  <w:r>
                    <w:t>21JA011880003</w:t>
                  </w:r>
                </w:p>
              </w:tc>
              <w:tc>
                <w:tcPr>
                  <w:tcW w:w="2165" w:type="dxa"/>
                </w:tcPr>
                <w:p>
                  <w:r>
                    <w:rPr>
                      <w:rFonts w:hint="eastAsia"/>
                    </w:rPr>
                    <w:t>202</w:t>
                  </w:r>
                  <w:r>
                    <w:t>1</w:t>
                  </w:r>
                  <w:r>
                    <w:rPr>
                      <w:rFonts w:hint="eastAsia"/>
                    </w:rPr>
                    <w:t>-0</w:t>
                  </w:r>
                  <w:r>
                    <w:t>9</w:t>
                  </w:r>
                  <w:r>
                    <w:rPr>
                      <w:rFonts w:hint="eastAsia"/>
                    </w:rPr>
                    <w:t>-0</w:t>
                  </w:r>
                  <w:r>
                    <w:t>8</w:t>
                  </w:r>
                  <w:r>
                    <w:rPr>
                      <w:rFonts w:hint="eastAsia"/>
                    </w:rPr>
                    <w:t>校准时间</w:t>
                  </w:r>
                </w:p>
              </w:tc>
              <w:tc>
                <w:tcPr>
                  <w:tcW w:w="2535"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r>
                    <w:rPr>
                      <w:rFonts w:hint="eastAsia"/>
                    </w:rPr>
                    <w:t>吸管</w:t>
                  </w:r>
                </w:p>
              </w:tc>
              <w:tc>
                <w:tcPr>
                  <w:tcW w:w="2229" w:type="dxa"/>
                </w:tcPr>
                <w:p>
                  <w:r>
                    <w:t>KW21045780001</w:t>
                  </w:r>
                </w:p>
              </w:tc>
              <w:tc>
                <w:tcPr>
                  <w:tcW w:w="2165" w:type="dxa"/>
                </w:tcPr>
                <w:p>
                  <w:r>
                    <w:rPr>
                      <w:rFonts w:hint="eastAsia"/>
                    </w:rPr>
                    <w:t>202</w:t>
                  </w:r>
                  <w:r>
                    <w:t>1-06-25</w:t>
                  </w:r>
                  <w:r>
                    <w:rPr>
                      <w:rFonts w:hint="eastAsia"/>
                    </w:rPr>
                    <w:t>校准时间</w:t>
                  </w:r>
                </w:p>
              </w:tc>
              <w:tc>
                <w:tcPr>
                  <w:tcW w:w="2535"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4" w:type="dxa"/>
                </w:tcPr>
                <w:p>
                  <w:r>
                    <w:rPr>
                      <w:rFonts w:hint="eastAsia"/>
                    </w:rPr>
                    <w:t>原子荧光光度计</w:t>
                  </w:r>
                </w:p>
              </w:tc>
              <w:tc>
                <w:tcPr>
                  <w:tcW w:w="2229" w:type="dxa"/>
                </w:tcPr>
                <w:p>
                  <w:r>
                    <w:t>KW21026240002</w:t>
                  </w:r>
                </w:p>
              </w:tc>
              <w:tc>
                <w:tcPr>
                  <w:tcW w:w="2165" w:type="dxa"/>
                </w:tcPr>
                <w:p>
                  <w:r>
                    <w:rPr>
                      <w:rFonts w:hint="eastAsia"/>
                    </w:rPr>
                    <w:t>202</w:t>
                  </w:r>
                  <w:r>
                    <w:t>1-06-25</w:t>
                  </w:r>
                  <w:r>
                    <w:rPr>
                      <w:rFonts w:hint="eastAsia"/>
                    </w:rPr>
                    <w:t>校准时间</w:t>
                  </w:r>
                </w:p>
              </w:tc>
              <w:tc>
                <w:tcPr>
                  <w:tcW w:w="2535"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4" w:type="dxa"/>
                </w:tcPr>
                <w:p>
                  <w:r>
                    <w:rPr>
                      <w:rFonts w:hint="eastAsia"/>
                    </w:rPr>
                    <w:t>原子吸收分光光度计</w:t>
                  </w:r>
                </w:p>
              </w:tc>
              <w:tc>
                <w:tcPr>
                  <w:tcW w:w="2229" w:type="dxa"/>
                </w:tcPr>
                <w:p>
                  <w:r>
                    <w:t>KW21026240004</w:t>
                  </w:r>
                </w:p>
              </w:tc>
              <w:tc>
                <w:tcPr>
                  <w:tcW w:w="2165" w:type="dxa"/>
                </w:tcPr>
                <w:p>
                  <w:r>
                    <w:rPr>
                      <w:rFonts w:hint="eastAsia"/>
                    </w:rPr>
                    <w:t>202</w:t>
                  </w:r>
                  <w:r>
                    <w:t>1-06-25</w:t>
                  </w:r>
                  <w:r>
                    <w:rPr>
                      <w:rFonts w:hint="eastAsia"/>
                    </w:rPr>
                    <w:t>校准时间</w:t>
                  </w:r>
                </w:p>
              </w:tc>
              <w:tc>
                <w:tcPr>
                  <w:tcW w:w="2535"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bl>
          <w:p>
            <w:pPr>
              <w:pStyle w:val="10"/>
              <w:ind w:left="0" w:leftChars="0" w:firstLine="211" w:firstLineChars="100"/>
              <w:rPr>
                <w:rFonts w:hint="default" w:eastAsia="宋体"/>
                <w:color w:val="FF0000"/>
                <w:lang w:val="en-US" w:eastAsia="zh-CN"/>
              </w:rPr>
            </w:pPr>
            <w:r>
              <w:rPr>
                <w:rFonts w:hint="eastAsia"/>
                <w:color w:val="FF0000"/>
              </w:rPr>
              <w:t>查看化验室试剂保存情况，部分使用冷藏柜保存，但冷藏柜无温度显示装置。</w:t>
            </w:r>
            <w:r>
              <w:rPr>
                <w:rFonts w:hint="eastAsia"/>
                <w:color w:val="FF0000"/>
                <w:lang w:val="en-US" w:eastAsia="zh-CN"/>
              </w:rPr>
              <w:t>见不符合项报告01。</w:t>
            </w:r>
          </w:p>
          <w:p>
            <w:pPr>
              <w:pStyle w:val="2"/>
              <w:rPr>
                <w:rFonts w:hint="eastAsia"/>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年  </w:t>
            </w:r>
            <w:r>
              <w:rPr>
                <w:rFonts w:hint="eastAsia"/>
                <w:u w:val="single"/>
                <w:lang w:val="en-US" w:eastAsia="zh-CN"/>
              </w:rPr>
              <w:t>8</w:t>
            </w:r>
            <w:r>
              <w:rPr>
                <w:rFonts w:hint="eastAsia"/>
                <w:u w:val="single"/>
              </w:rPr>
              <w:t xml:space="preserve"> 月</w:t>
            </w:r>
            <w:r>
              <w:rPr>
                <w:rFonts w:hint="eastAsia"/>
                <w:u w:val="single"/>
                <w:lang w:val="en-US" w:eastAsia="zh-CN"/>
              </w:rPr>
              <w:t>10</w:t>
            </w:r>
            <w:r>
              <w:rPr>
                <w:rFonts w:hint="eastAsia"/>
                <w:u w:val="single"/>
              </w:rPr>
              <w:t>日</w:t>
            </w:r>
            <w:r>
              <w:rPr>
                <w:rFonts w:hint="eastAsia"/>
              </w:rPr>
              <w:t>，进行验证了PRP。</w:t>
            </w:r>
          </w:p>
          <w:p>
            <w:pPr>
              <w:tabs>
                <w:tab w:val="right" w:pos="3119"/>
              </w:tabs>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年 </w:t>
            </w:r>
            <w:r>
              <w:rPr>
                <w:rFonts w:hint="eastAsia"/>
                <w:u w:val="single"/>
                <w:lang w:val="en-US" w:eastAsia="zh-CN"/>
              </w:rPr>
              <w:t>8</w:t>
            </w:r>
            <w:r>
              <w:rPr>
                <w:rFonts w:hint="eastAsia"/>
                <w:u w:val="single"/>
              </w:rPr>
              <w:t xml:space="preserve"> 月  </w:t>
            </w:r>
            <w:r>
              <w:rPr>
                <w:rFonts w:hint="eastAsia"/>
                <w:u w:val="single"/>
                <w:lang w:val="en-US" w:eastAsia="zh-CN"/>
              </w:rPr>
              <w:t>10</w:t>
            </w:r>
            <w:r>
              <w:rPr>
                <w:rFonts w:hint="eastAsia"/>
                <w:u w:val="single"/>
              </w:rPr>
              <w:t xml:space="preserve"> 日</w:t>
            </w:r>
            <w:r>
              <w:rPr>
                <w:rFonts w:hint="eastAsia"/>
              </w:rPr>
              <w:t>，进行验证了危害控制计划。</w:t>
            </w:r>
          </w:p>
          <w:p>
            <w:pPr>
              <w:pStyle w:val="2"/>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8"/>
              </w:numPr>
              <w:spacing w:before="40" w:after="40"/>
              <w:rPr>
                <w:szCs w:val="21"/>
              </w:rPr>
            </w:pPr>
            <w:r>
              <w:rPr>
                <w:rFonts w:hint="eastAsia"/>
                <w:szCs w:val="21"/>
              </w:rPr>
              <w:t>启动和实施产品召回计划人员的职责和权限</w:t>
            </w:r>
          </w:p>
          <w:p>
            <w:pPr>
              <w:widowControl/>
              <w:numPr>
                <w:ilvl w:val="0"/>
                <w:numId w:val="8"/>
              </w:numPr>
              <w:spacing w:before="40" w:after="40"/>
              <w:rPr>
                <w:szCs w:val="21"/>
              </w:rPr>
            </w:pPr>
            <w:r>
              <w:rPr>
                <w:rFonts w:hint="eastAsia"/>
                <w:szCs w:val="21"/>
              </w:rPr>
              <w:t>产品召回行动需符合的相关法律、法规和其他相关要求</w:t>
            </w:r>
          </w:p>
          <w:p>
            <w:pPr>
              <w:widowControl/>
              <w:numPr>
                <w:ilvl w:val="0"/>
                <w:numId w:val="8"/>
              </w:numPr>
              <w:spacing w:before="40" w:after="40"/>
              <w:rPr>
                <w:szCs w:val="21"/>
              </w:rPr>
            </w:pPr>
            <w:r>
              <w:rPr>
                <w:rFonts w:hint="eastAsia"/>
                <w:szCs w:val="21"/>
              </w:rPr>
              <w:t>制定并实施受安全危害影响产品的召回措施</w:t>
            </w:r>
          </w:p>
          <w:p>
            <w:pPr>
              <w:widowControl/>
              <w:numPr>
                <w:ilvl w:val="0"/>
                <w:numId w:val="8"/>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2021</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10 </w:t>
            </w:r>
            <w:r>
              <w:rPr>
                <w:rFonts w:hint="eastAsia"/>
                <w:szCs w:val="21"/>
              </w:rPr>
              <w:t>月</w:t>
            </w:r>
            <w:r>
              <w:rPr>
                <w:rFonts w:hint="eastAsia"/>
                <w:szCs w:val="21"/>
                <w:u w:val="single"/>
              </w:rPr>
              <w:t xml:space="preserve"> </w:t>
            </w:r>
            <w:r>
              <w:rPr>
                <w:rFonts w:hint="eastAsia"/>
                <w:szCs w:val="21"/>
                <w:u w:val="single"/>
                <w:lang w:val="en-US" w:eastAsia="zh-CN"/>
              </w:rPr>
              <w:t>8</w:t>
            </w:r>
            <w:r>
              <w:rPr>
                <w:rFonts w:hint="eastAsia"/>
                <w:szCs w:val="21"/>
              </w:rPr>
              <w:t>日进行了召回演练，产品</w:t>
            </w:r>
            <w:r>
              <w:rPr>
                <w:rFonts w:hint="eastAsia"/>
                <w:szCs w:val="21"/>
                <w:u w:val="single"/>
              </w:rPr>
              <w:t xml:space="preserve"> </w:t>
            </w:r>
            <w:r>
              <w:rPr>
                <w:rFonts w:hint="eastAsia"/>
                <w:szCs w:val="21"/>
                <w:u w:val="single"/>
                <w:lang w:val="en-US" w:eastAsia="zh-CN"/>
              </w:rPr>
              <w:t>碳酸钙（重质碳酸钙）</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2109065</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9"/>
              </w:numPr>
              <w:shd w:val="clear" w:color="auto" w:fill="F4B8FF"/>
            </w:pPr>
            <w:r>
              <w:rPr>
                <w:rFonts w:hint="eastAsia"/>
              </w:rPr>
              <w:t>PRP和危害控制计划</w:t>
            </w:r>
          </w:p>
          <w:p>
            <w:pPr>
              <w:numPr>
                <w:ilvl w:val="0"/>
                <w:numId w:val="9"/>
              </w:numPr>
              <w:shd w:val="clear" w:color="auto" w:fill="F4B8FF"/>
            </w:pPr>
            <w:r>
              <w:rPr>
                <w:rFonts w:hint="eastAsia"/>
              </w:rPr>
              <w:t>内部审核的结果</w:t>
            </w:r>
          </w:p>
          <w:p>
            <w:pPr>
              <w:numPr>
                <w:ilvl w:val="0"/>
                <w:numId w:val="9"/>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pStyle w:val="5"/>
      </w:pPr>
    </w:p>
    <w:p>
      <w:pPr>
        <w:pStyle w:val="5"/>
      </w:pPr>
    </w:p>
    <w:p>
      <w:pPr>
        <w:pStyle w:val="5"/>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标准条款</w:t>
            </w:r>
          </w:p>
        </w:tc>
        <w:tc>
          <w:tcPr>
            <w:tcW w:w="608" w:type="dxa"/>
            <w:shd w:val="clear" w:color="auto" w:fill="auto"/>
            <w:vAlign w:val="center"/>
          </w:tcPr>
          <w:p>
            <w:pPr>
              <w:shd w:val="clear" w:color="auto" w:fill="F4B8FF"/>
              <w:rPr>
                <w:highlight w:val="none"/>
                <w:lang w:eastAsia="ja-JP"/>
              </w:rPr>
            </w:pPr>
            <w:r>
              <w:rPr>
                <w:rFonts w:hint="eastAsia"/>
                <w:highlight w:val="none"/>
              </w:rPr>
              <w:t>4.1</w:t>
            </w:r>
          </w:p>
        </w:tc>
        <w:tc>
          <w:tcPr>
            <w:tcW w:w="630" w:type="dxa"/>
            <w:shd w:val="clear" w:color="auto" w:fill="auto"/>
            <w:vAlign w:val="center"/>
          </w:tcPr>
          <w:p>
            <w:pPr>
              <w:shd w:val="clear" w:color="auto" w:fill="F4B8FF"/>
              <w:rPr>
                <w:highlight w:val="none"/>
                <w:lang w:eastAsia="ja-JP"/>
              </w:rPr>
            </w:pPr>
            <w:r>
              <w:rPr>
                <w:rFonts w:hint="eastAsia"/>
                <w:highlight w:val="none"/>
              </w:rPr>
              <w:t>4.2</w:t>
            </w:r>
          </w:p>
        </w:tc>
        <w:tc>
          <w:tcPr>
            <w:tcW w:w="615" w:type="dxa"/>
            <w:shd w:val="clear" w:color="auto" w:fill="auto"/>
            <w:vAlign w:val="center"/>
          </w:tcPr>
          <w:p>
            <w:pPr>
              <w:shd w:val="clear" w:color="auto" w:fill="F4B8FF"/>
              <w:rPr>
                <w:highlight w:val="none"/>
                <w:lang w:eastAsia="ja-JP"/>
              </w:rPr>
            </w:pPr>
            <w:r>
              <w:rPr>
                <w:rFonts w:hint="eastAsia"/>
                <w:highlight w:val="none"/>
              </w:rPr>
              <w:t>4.3</w:t>
            </w:r>
          </w:p>
        </w:tc>
        <w:tc>
          <w:tcPr>
            <w:tcW w:w="645" w:type="dxa"/>
            <w:shd w:val="clear" w:color="auto" w:fill="auto"/>
            <w:vAlign w:val="center"/>
          </w:tcPr>
          <w:p>
            <w:pPr>
              <w:shd w:val="clear" w:color="auto" w:fill="F4B8FF"/>
              <w:rPr>
                <w:highlight w:val="none"/>
                <w:lang w:eastAsia="ja-JP"/>
              </w:rPr>
            </w:pPr>
            <w:r>
              <w:rPr>
                <w:rFonts w:hint="eastAsia"/>
                <w:highlight w:val="none"/>
              </w:rPr>
              <w:t>4.4</w:t>
            </w:r>
          </w:p>
        </w:tc>
        <w:tc>
          <w:tcPr>
            <w:tcW w:w="637" w:type="dxa"/>
            <w:shd w:val="clear" w:color="auto" w:fill="auto"/>
            <w:vAlign w:val="center"/>
          </w:tcPr>
          <w:p>
            <w:pPr>
              <w:shd w:val="clear" w:color="auto" w:fill="F4B8FF"/>
              <w:rPr>
                <w:highlight w:val="none"/>
                <w:lang w:eastAsia="ja-JP"/>
              </w:rPr>
            </w:pPr>
            <w:r>
              <w:rPr>
                <w:rFonts w:hint="eastAsia"/>
                <w:highlight w:val="none"/>
              </w:rPr>
              <w:t>5.1</w:t>
            </w:r>
          </w:p>
        </w:tc>
        <w:tc>
          <w:tcPr>
            <w:tcW w:w="623" w:type="dxa"/>
            <w:shd w:val="clear" w:color="auto" w:fill="auto"/>
            <w:vAlign w:val="center"/>
          </w:tcPr>
          <w:p>
            <w:pPr>
              <w:shd w:val="clear" w:color="auto" w:fill="F4B8FF"/>
              <w:rPr>
                <w:highlight w:val="none"/>
                <w:lang w:eastAsia="ja-JP"/>
              </w:rPr>
            </w:pPr>
            <w:r>
              <w:rPr>
                <w:rFonts w:hint="eastAsia"/>
                <w:highlight w:val="none"/>
              </w:rPr>
              <w:t>5.2</w:t>
            </w:r>
          </w:p>
        </w:tc>
        <w:tc>
          <w:tcPr>
            <w:tcW w:w="637" w:type="dxa"/>
            <w:shd w:val="clear" w:color="auto" w:fill="auto"/>
            <w:vAlign w:val="center"/>
          </w:tcPr>
          <w:p>
            <w:pPr>
              <w:shd w:val="clear" w:color="auto" w:fill="F4B8FF"/>
              <w:rPr>
                <w:highlight w:val="none"/>
                <w:lang w:eastAsia="ja-JP"/>
              </w:rPr>
            </w:pPr>
            <w:r>
              <w:rPr>
                <w:rFonts w:hint="eastAsia"/>
                <w:highlight w:val="none"/>
              </w:rPr>
              <w:t>5.3</w:t>
            </w:r>
          </w:p>
        </w:tc>
        <w:tc>
          <w:tcPr>
            <w:tcW w:w="688" w:type="dxa"/>
            <w:shd w:val="clear" w:color="auto" w:fill="auto"/>
            <w:vAlign w:val="center"/>
          </w:tcPr>
          <w:p>
            <w:pPr>
              <w:shd w:val="clear" w:color="auto" w:fill="F4B8FF"/>
              <w:rPr>
                <w:highlight w:val="none"/>
                <w:lang w:eastAsia="ja-JP"/>
              </w:rPr>
            </w:pPr>
            <w:r>
              <w:rPr>
                <w:rFonts w:hint="eastAsia"/>
                <w:highlight w:val="none"/>
              </w:rPr>
              <w:t>6.1</w:t>
            </w:r>
          </w:p>
        </w:tc>
        <w:tc>
          <w:tcPr>
            <w:tcW w:w="600" w:type="dxa"/>
            <w:shd w:val="clear" w:color="auto" w:fill="auto"/>
            <w:vAlign w:val="center"/>
          </w:tcPr>
          <w:p>
            <w:pPr>
              <w:shd w:val="clear" w:color="auto" w:fill="F4B8FF"/>
              <w:rPr>
                <w:highlight w:val="none"/>
              </w:rPr>
            </w:pPr>
            <w:r>
              <w:rPr>
                <w:rFonts w:hint="eastAsia"/>
                <w:highlight w:val="none"/>
              </w:rPr>
              <w:t>6.2</w:t>
            </w:r>
          </w:p>
        </w:tc>
        <w:tc>
          <w:tcPr>
            <w:tcW w:w="587" w:type="dxa"/>
            <w:shd w:val="clear" w:color="auto" w:fill="auto"/>
            <w:vAlign w:val="center"/>
          </w:tcPr>
          <w:p>
            <w:pPr>
              <w:shd w:val="clear" w:color="auto" w:fill="F4B8FF"/>
              <w:rPr>
                <w:highlight w:val="none"/>
              </w:rPr>
            </w:pPr>
            <w:r>
              <w:rPr>
                <w:rFonts w:hint="eastAsia"/>
                <w:highlight w:val="none"/>
              </w:rPr>
              <w:t>6.3</w:t>
            </w: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评价*)</w:t>
            </w:r>
          </w:p>
        </w:tc>
        <w:tc>
          <w:tcPr>
            <w:tcW w:w="608" w:type="dxa"/>
            <w:shd w:val="clear" w:color="auto" w:fill="auto"/>
            <w:vAlign w:val="center"/>
          </w:tcPr>
          <w:p>
            <w:pPr>
              <w:shd w:val="clear" w:color="auto" w:fill="F4B8FF"/>
              <w:rPr>
                <w:rFonts w:hint="eastAsia" w:eastAsia="宋体"/>
                <w:highlight w:val="none"/>
                <w:lang w:val="en-US" w:eastAsia="zh-CN"/>
              </w:rPr>
            </w:pPr>
            <w:r>
              <w:rPr>
                <w:rFonts w:hint="eastAsia"/>
                <w:highlight w:val="none"/>
                <w:lang w:val="en-US" w:eastAsia="zh-CN"/>
              </w:rPr>
              <w:t>1</w:t>
            </w:r>
          </w:p>
        </w:tc>
        <w:tc>
          <w:tcPr>
            <w:tcW w:w="63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1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4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23"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88"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0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58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rPr>
            </w:pPr>
            <w:r>
              <w:rPr>
                <w:rFonts w:hint="eastAsia"/>
                <w:highlight w:val="none"/>
              </w:rPr>
              <w:t>不符合数量</w:t>
            </w:r>
          </w:p>
        </w:tc>
        <w:tc>
          <w:tcPr>
            <w:tcW w:w="608" w:type="dxa"/>
            <w:shd w:val="clear" w:color="auto" w:fill="auto"/>
            <w:vAlign w:val="center"/>
          </w:tcPr>
          <w:p>
            <w:pPr>
              <w:shd w:val="clear" w:color="auto" w:fill="F4B8FF"/>
              <w:rPr>
                <w:highlight w:val="none"/>
                <w:lang w:eastAsia="ja-JP"/>
              </w:rPr>
            </w:pPr>
          </w:p>
        </w:tc>
        <w:tc>
          <w:tcPr>
            <w:tcW w:w="630" w:type="dxa"/>
            <w:shd w:val="clear" w:color="auto" w:fill="auto"/>
            <w:vAlign w:val="center"/>
          </w:tcPr>
          <w:p>
            <w:pPr>
              <w:shd w:val="clear" w:color="auto" w:fill="F4B8FF"/>
              <w:rPr>
                <w:highlight w:val="none"/>
                <w:lang w:eastAsia="ja-JP"/>
              </w:rPr>
            </w:pPr>
          </w:p>
        </w:tc>
        <w:tc>
          <w:tcPr>
            <w:tcW w:w="615" w:type="dxa"/>
            <w:shd w:val="clear" w:color="auto" w:fill="auto"/>
            <w:vAlign w:val="center"/>
          </w:tcPr>
          <w:p>
            <w:pPr>
              <w:shd w:val="clear" w:color="auto" w:fill="F4B8FF"/>
              <w:rPr>
                <w:highlight w:val="none"/>
                <w:lang w:eastAsia="ja-JP"/>
              </w:rPr>
            </w:pPr>
          </w:p>
        </w:tc>
        <w:tc>
          <w:tcPr>
            <w:tcW w:w="645"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23"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88" w:type="dxa"/>
            <w:shd w:val="clear" w:color="auto" w:fill="auto"/>
            <w:vAlign w:val="center"/>
          </w:tcPr>
          <w:p>
            <w:pPr>
              <w:shd w:val="clear" w:color="auto" w:fill="F4B8FF"/>
              <w:rPr>
                <w:highlight w:val="none"/>
                <w:lang w:eastAsia="ja-JP"/>
              </w:rPr>
            </w:pPr>
          </w:p>
        </w:tc>
        <w:tc>
          <w:tcPr>
            <w:tcW w:w="600" w:type="dxa"/>
            <w:shd w:val="clear" w:color="auto" w:fill="auto"/>
            <w:vAlign w:val="center"/>
          </w:tcPr>
          <w:p>
            <w:pPr>
              <w:shd w:val="clear" w:color="auto" w:fill="F4B8FF"/>
              <w:rPr>
                <w:highlight w:val="none"/>
                <w:lang w:eastAsia="ja-JP"/>
              </w:rPr>
            </w:pPr>
          </w:p>
        </w:tc>
        <w:tc>
          <w:tcPr>
            <w:tcW w:w="587"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标准条款</w:t>
            </w:r>
          </w:p>
        </w:tc>
        <w:tc>
          <w:tcPr>
            <w:tcW w:w="608" w:type="dxa"/>
            <w:shd w:val="clear" w:color="auto" w:fill="auto"/>
            <w:vAlign w:val="center"/>
          </w:tcPr>
          <w:p>
            <w:pPr>
              <w:shd w:val="clear" w:color="auto" w:fill="F4B8FF"/>
              <w:rPr>
                <w:highlight w:val="none"/>
                <w:lang w:eastAsia="ja-JP"/>
              </w:rPr>
            </w:pPr>
            <w:r>
              <w:rPr>
                <w:rFonts w:hint="eastAsia"/>
                <w:highlight w:val="none"/>
              </w:rPr>
              <w:t>7.1</w:t>
            </w:r>
          </w:p>
        </w:tc>
        <w:tc>
          <w:tcPr>
            <w:tcW w:w="630" w:type="dxa"/>
            <w:shd w:val="clear" w:color="auto" w:fill="auto"/>
            <w:vAlign w:val="center"/>
          </w:tcPr>
          <w:p>
            <w:pPr>
              <w:shd w:val="clear" w:color="auto" w:fill="F4B8FF"/>
              <w:rPr>
                <w:highlight w:val="none"/>
                <w:lang w:eastAsia="ja-JP"/>
              </w:rPr>
            </w:pPr>
            <w:r>
              <w:rPr>
                <w:rFonts w:hint="eastAsia"/>
                <w:highlight w:val="none"/>
              </w:rPr>
              <w:t>7.2</w:t>
            </w:r>
          </w:p>
        </w:tc>
        <w:tc>
          <w:tcPr>
            <w:tcW w:w="615" w:type="dxa"/>
            <w:shd w:val="clear" w:color="auto" w:fill="auto"/>
            <w:vAlign w:val="center"/>
          </w:tcPr>
          <w:p>
            <w:pPr>
              <w:shd w:val="clear" w:color="auto" w:fill="F4B8FF"/>
              <w:rPr>
                <w:highlight w:val="none"/>
                <w:lang w:eastAsia="ja-JP"/>
              </w:rPr>
            </w:pPr>
            <w:r>
              <w:rPr>
                <w:rFonts w:hint="eastAsia"/>
                <w:highlight w:val="none"/>
              </w:rPr>
              <w:t>7.3</w:t>
            </w:r>
          </w:p>
        </w:tc>
        <w:tc>
          <w:tcPr>
            <w:tcW w:w="645" w:type="dxa"/>
            <w:shd w:val="clear" w:color="auto" w:fill="auto"/>
            <w:vAlign w:val="center"/>
          </w:tcPr>
          <w:p>
            <w:pPr>
              <w:shd w:val="clear" w:color="auto" w:fill="F4B8FF"/>
              <w:rPr>
                <w:highlight w:val="none"/>
                <w:lang w:eastAsia="ja-JP"/>
              </w:rPr>
            </w:pPr>
            <w:r>
              <w:rPr>
                <w:rFonts w:hint="eastAsia"/>
                <w:highlight w:val="none"/>
              </w:rPr>
              <w:t>7.4</w:t>
            </w:r>
          </w:p>
        </w:tc>
        <w:tc>
          <w:tcPr>
            <w:tcW w:w="637" w:type="dxa"/>
            <w:shd w:val="clear" w:color="auto" w:fill="auto"/>
            <w:vAlign w:val="center"/>
          </w:tcPr>
          <w:p>
            <w:pPr>
              <w:shd w:val="clear" w:color="auto" w:fill="F4B8FF"/>
              <w:rPr>
                <w:highlight w:val="none"/>
                <w:lang w:eastAsia="ja-JP"/>
              </w:rPr>
            </w:pPr>
            <w:r>
              <w:rPr>
                <w:rFonts w:hint="eastAsia"/>
                <w:highlight w:val="none"/>
              </w:rPr>
              <w:t>7.5</w:t>
            </w:r>
          </w:p>
        </w:tc>
        <w:tc>
          <w:tcPr>
            <w:tcW w:w="623" w:type="dxa"/>
            <w:shd w:val="clear" w:color="auto" w:fill="auto"/>
            <w:vAlign w:val="center"/>
          </w:tcPr>
          <w:p>
            <w:pPr>
              <w:shd w:val="clear" w:color="auto" w:fill="F4B8FF"/>
              <w:rPr>
                <w:highlight w:val="none"/>
                <w:lang w:eastAsia="ja-JP"/>
              </w:rPr>
            </w:pPr>
            <w:r>
              <w:rPr>
                <w:rFonts w:hint="eastAsia"/>
                <w:highlight w:val="none"/>
              </w:rPr>
              <w:t>8.1</w:t>
            </w:r>
          </w:p>
        </w:tc>
        <w:tc>
          <w:tcPr>
            <w:tcW w:w="637" w:type="dxa"/>
            <w:shd w:val="clear" w:color="auto" w:fill="auto"/>
            <w:vAlign w:val="center"/>
          </w:tcPr>
          <w:p>
            <w:pPr>
              <w:shd w:val="clear" w:color="auto" w:fill="F4B8FF"/>
              <w:rPr>
                <w:highlight w:val="none"/>
                <w:lang w:eastAsia="ja-JP"/>
              </w:rPr>
            </w:pPr>
            <w:r>
              <w:rPr>
                <w:rFonts w:hint="eastAsia"/>
                <w:highlight w:val="none"/>
              </w:rPr>
              <w:t>8.2</w:t>
            </w:r>
          </w:p>
        </w:tc>
        <w:tc>
          <w:tcPr>
            <w:tcW w:w="688" w:type="dxa"/>
            <w:shd w:val="clear" w:color="auto" w:fill="auto"/>
            <w:vAlign w:val="center"/>
          </w:tcPr>
          <w:p>
            <w:pPr>
              <w:shd w:val="clear" w:color="auto" w:fill="F4B8FF"/>
              <w:rPr>
                <w:highlight w:val="none"/>
                <w:lang w:eastAsia="ja-JP"/>
              </w:rPr>
            </w:pPr>
            <w:r>
              <w:rPr>
                <w:rFonts w:hint="eastAsia"/>
                <w:highlight w:val="none"/>
              </w:rPr>
              <w:t>8.3</w:t>
            </w:r>
          </w:p>
        </w:tc>
        <w:tc>
          <w:tcPr>
            <w:tcW w:w="600" w:type="dxa"/>
            <w:shd w:val="clear" w:color="auto" w:fill="auto"/>
            <w:vAlign w:val="center"/>
          </w:tcPr>
          <w:p>
            <w:pPr>
              <w:shd w:val="clear" w:color="auto" w:fill="F4B8FF"/>
              <w:rPr>
                <w:highlight w:val="none"/>
              </w:rPr>
            </w:pPr>
            <w:r>
              <w:rPr>
                <w:rFonts w:hint="eastAsia"/>
                <w:highlight w:val="none"/>
              </w:rPr>
              <w:t>8.4</w:t>
            </w:r>
          </w:p>
        </w:tc>
        <w:tc>
          <w:tcPr>
            <w:tcW w:w="587" w:type="dxa"/>
            <w:shd w:val="clear" w:color="auto" w:fill="auto"/>
            <w:vAlign w:val="center"/>
          </w:tcPr>
          <w:p>
            <w:pPr>
              <w:shd w:val="clear" w:color="auto" w:fill="F4B8FF"/>
              <w:rPr>
                <w:highlight w:val="none"/>
              </w:rPr>
            </w:pPr>
            <w:r>
              <w:rPr>
                <w:rFonts w:hint="eastAsia"/>
                <w:highlight w:val="none"/>
              </w:rPr>
              <w:t>8.5</w:t>
            </w:r>
          </w:p>
        </w:tc>
        <w:tc>
          <w:tcPr>
            <w:tcW w:w="650" w:type="dxa"/>
            <w:shd w:val="clear" w:color="auto" w:fill="auto"/>
            <w:vAlign w:val="center"/>
          </w:tcPr>
          <w:p>
            <w:pPr>
              <w:shd w:val="clear" w:color="auto" w:fill="F4B8FF"/>
              <w:rPr>
                <w:highlight w:val="none"/>
                <w:lang w:eastAsia="ja-JP"/>
              </w:rPr>
            </w:pPr>
            <w:r>
              <w:rPr>
                <w:rFonts w:hint="eastAsia"/>
                <w:highlight w:val="none"/>
              </w:rPr>
              <w:t>8.6</w:t>
            </w:r>
          </w:p>
        </w:tc>
        <w:tc>
          <w:tcPr>
            <w:tcW w:w="649" w:type="dxa"/>
            <w:shd w:val="clear" w:color="auto" w:fill="auto"/>
            <w:vAlign w:val="center"/>
          </w:tcPr>
          <w:p>
            <w:pPr>
              <w:shd w:val="clear" w:color="auto" w:fill="F4B8FF"/>
              <w:rPr>
                <w:highlight w:val="none"/>
                <w:lang w:eastAsia="ja-JP"/>
              </w:rPr>
            </w:pPr>
            <w:r>
              <w:rPr>
                <w:rFonts w:hint="eastAsia"/>
                <w:highlight w:val="none"/>
              </w:rPr>
              <w:t>8.7</w:t>
            </w:r>
          </w:p>
        </w:tc>
        <w:tc>
          <w:tcPr>
            <w:tcW w:w="650" w:type="dxa"/>
            <w:shd w:val="clear" w:color="auto" w:fill="auto"/>
            <w:vAlign w:val="center"/>
          </w:tcPr>
          <w:p>
            <w:pPr>
              <w:shd w:val="clear" w:color="auto" w:fill="F4B8FF"/>
              <w:rPr>
                <w:highlight w:val="none"/>
                <w:lang w:eastAsia="ja-JP"/>
              </w:rPr>
            </w:pPr>
            <w:r>
              <w:rPr>
                <w:rFonts w:hint="eastAsia"/>
                <w:highlight w:val="none"/>
              </w:rPr>
              <w:t>8.8</w:t>
            </w:r>
          </w:p>
        </w:tc>
        <w:tc>
          <w:tcPr>
            <w:tcW w:w="650" w:type="dxa"/>
            <w:shd w:val="clear" w:color="auto" w:fill="auto"/>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评价*)</w:t>
            </w:r>
          </w:p>
        </w:tc>
        <w:tc>
          <w:tcPr>
            <w:tcW w:w="608"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1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4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23"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88"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0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587" w:type="dxa"/>
            <w:shd w:val="clear" w:color="auto" w:fill="auto"/>
            <w:vAlign w:val="center"/>
          </w:tcPr>
          <w:p>
            <w:pPr>
              <w:shd w:val="clear" w:color="auto" w:fill="F4B8FF"/>
              <w:rPr>
                <w:highlight w:val="none"/>
                <w:lang w:eastAsia="ja-JP"/>
              </w:rPr>
            </w:pPr>
            <w:r>
              <w:rPr>
                <w:rFonts w:hint="eastAsia"/>
                <w:highlight w:val="none"/>
                <w:lang w:val="en-US" w:eastAsia="zh-CN"/>
              </w:rPr>
              <w:t>3</w:t>
            </w:r>
          </w:p>
        </w:tc>
        <w:tc>
          <w:tcPr>
            <w:tcW w:w="65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49" w:type="dxa"/>
            <w:shd w:val="clear" w:color="auto" w:fill="auto"/>
            <w:vAlign w:val="center"/>
          </w:tcPr>
          <w:p>
            <w:pPr>
              <w:shd w:val="clear" w:color="auto" w:fill="F4B8FF"/>
              <w:rPr>
                <w:highlight w:val="none"/>
                <w:lang w:eastAsia="ja-JP"/>
              </w:rPr>
            </w:pPr>
            <w:r>
              <w:rPr>
                <w:rFonts w:hint="eastAsia"/>
                <w:highlight w:val="none"/>
                <w:lang w:val="en-US" w:eastAsia="zh-CN"/>
              </w:rPr>
              <w:t>3</w:t>
            </w:r>
          </w:p>
        </w:tc>
        <w:tc>
          <w:tcPr>
            <w:tcW w:w="65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50" w:type="dxa"/>
            <w:shd w:val="clear" w:color="auto" w:fill="auto"/>
            <w:vAlign w:val="center"/>
          </w:tcPr>
          <w:p>
            <w:pPr>
              <w:shd w:val="clear" w:color="auto" w:fill="F4B8FF"/>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rPr>
              <w:t>不符合数量</w:t>
            </w:r>
          </w:p>
        </w:tc>
        <w:tc>
          <w:tcPr>
            <w:tcW w:w="608" w:type="dxa"/>
            <w:shd w:val="clear" w:color="auto" w:fill="auto"/>
            <w:vAlign w:val="center"/>
          </w:tcPr>
          <w:p>
            <w:pPr>
              <w:shd w:val="clear" w:color="auto" w:fill="F4B8FF"/>
              <w:rPr>
                <w:rFonts w:hint="default" w:eastAsia="宋体"/>
                <w:highlight w:val="none"/>
                <w:lang w:val="en-US" w:eastAsia="zh-CN"/>
              </w:rPr>
            </w:pPr>
          </w:p>
        </w:tc>
        <w:tc>
          <w:tcPr>
            <w:tcW w:w="630" w:type="dxa"/>
            <w:shd w:val="clear" w:color="auto" w:fill="auto"/>
            <w:vAlign w:val="center"/>
          </w:tcPr>
          <w:p>
            <w:pPr>
              <w:shd w:val="clear" w:color="auto" w:fill="F4B8FF"/>
              <w:rPr>
                <w:rFonts w:hint="default" w:eastAsia="宋体"/>
                <w:highlight w:val="none"/>
                <w:lang w:val="en-US" w:eastAsia="zh-CN"/>
              </w:rPr>
            </w:pPr>
          </w:p>
        </w:tc>
        <w:tc>
          <w:tcPr>
            <w:tcW w:w="615" w:type="dxa"/>
            <w:shd w:val="clear" w:color="auto" w:fill="auto"/>
            <w:vAlign w:val="center"/>
          </w:tcPr>
          <w:p>
            <w:pPr>
              <w:shd w:val="clear" w:color="auto" w:fill="F4B8FF"/>
              <w:rPr>
                <w:highlight w:val="none"/>
                <w:lang w:eastAsia="ja-JP"/>
              </w:rPr>
            </w:pPr>
          </w:p>
        </w:tc>
        <w:tc>
          <w:tcPr>
            <w:tcW w:w="645"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23" w:type="dxa"/>
            <w:shd w:val="clear" w:color="auto" w:fill="auto"/>
            <w:vAlign w:val="center"/>
          </w:tcPr>
          <w:p>
            <w:pPr>
              <w:shd w:val="clear" w:color="auto" w:fill="F4B8FF"/>
              <w:rPr>
                <w:highlight w:val="none"/>
                <w:lang w:eastAsia="ja-JP"/>
              </w:rPr>
            </w:pPr>
          </w:p>
        </w:tc>
        <w:tc>
          <w:tcPr>
            <w:tcW w:w="637" w:type="dxa"/>
            <w:tcBorders>
              <w:bottom w:val="single" w:color="auto" w:sz="4" w:space="0"/>
            </w:tcBorders>
            <w:shd w:val="clear" w:color="auto" w:fill="auto"/>
            <w:vAlign w:val="center"/>
          </w:tcPr>
          <w:p>
            <w:pPr>
              <w:shd w:val="clear" w:color="auto" w:fill="F4B8FF"/>
              <w:rPr>
                <w:rFonts w:hint="default" w:eastAsia="宋体"/>
                <w:highlight w:val="none"/>
                <w:lang w:val="en-US" w:eastAsia="zh-CN"/>
              </w:rPr>
            </w:pPr>
          </w:p>
        </w:tc>
        <w:tc>
          <w:tcPr>
            <w:tcW w:w="688" w:type="dxa"/>
            <w:tcBorders>
              <w:bottom w:val="single" w:color="auto" w:sz="4" w:space="0"/>
            </w:tcBorders>
            <w:shd w:val="clear" w:color="auto" w:fill="auto"/>
            <w:vAlign w:val="center"/>
          </w:tcPr>
          <w:p>
            <w:pPr>
              <w:shd w:val="clear" w:color="auto" w:fill="F4B8FF"/>
              <w:rPr>
                <w:highlight w:val="none"/>
                <w:lang w:eastAsia="ja-JP"/>
              </w:rPr>
            </w:pPr>
          </w:p>
        </w:tc>
        <w:tc>
          <w:tcPr>
            <w:tcW w:w="600" w:type="dxa"/>
            <w:tcBorders>
              <w:bottom w:val="single" w:color="auto" w:sz="4" w:space="0"/>
            </w:tcBorders>
            <w:shd w:val="clear" w:color="auto" w:fill="auto"/>
            <w:vAlign w:val="center"/>
          </w:tcPr>
          <w:p>
            <w:pPr>
              <w:shd w:val="clear" w:color="auto" w:fill="F4B8FF"/>
              <w:rPr>
                <w:highlight w:val="none"/>
                <w:lang w:eastAsia="ja-JP"/>
              </w:rPr>
            </w:pPr>
          </w:p>
        </w:tc>
        <w:tc>
          <w:tcPr>
            <w:tcW w:w="587" w:type="dxa"/>
            <w:tcBorders>
              <w:bottom w:val="single" w:color="auto" w:sz="4" w:space="0"/>
            </w:tcBorders>
            <w:shd w:val="clear" w:color="auto" w:fill="auto"/>
            <w:vAlign w:val="center"/>
          </w:tcPr>
          <w:p>
            <w:pPr>
              <w:shd w:val="clear" w:color="auto" w:fill="F4B8FF"/>
              <w:rPr>
                <w:rFonts w:hint="default" w:eastAsia="宋体"/>
                <w:highlight w:val="none"/>
                <w:lang w:val="en-US" w:eastAsia="zh-CN"/>
              </w:rPr>
            </w:pPr>
            <w:r>
              <w:rPr>
                <w:rFonts w:hint="eastAsia"/>
                <w:highlight w:val="none"/>
                <w:lang w:val="en-US" w:eastAsia="zh-CN"/>
              </w:rPr>
              <w:t>02/03</w:t>
            </w:r>
          </w:p>
        </w:tc>
        <w:tc>
          <w:tcPr>
            <w:tcW w:w="650" w:type="dxa"/>
            <w:tcBorders>
              <w:bottom w:val="single" w:color="auto" w:sz="4" w:space="0"/>
            </w:tcBorders>
            <w:shd w:val="clear" w:color="auto" w:fill="auto"/>
            <w:vAlign w:val="center"/>
          </w:tcPr>
          <w:p>
            <w:pPr>
              <w:shd w:val="clear" w:color="auto" w:fill="F4B8FF"/>
              <w:rPr>
                <w:highlight w:val="none"/>
                <w:lang w:eastAsia="ja-JP"/>
              </w:rPr>
            </w:pPr>
          </w:p>
        </w:tc>
        <w:tc>
          <w:tcPr>
            <w:tcW w:w="649" w:type="dxa"/>
            <w:tcBorders>
              <w:bottom w:val="single" w:color="auto" w:sz="4" w:space="0"/>
            </w:tcBorders>
            <w:shd w:val="clear" w:color="auto" w:fill="auto"/>
            <w:vAlign w:val="center"/>
          </w:tcPr>
          <w:p>
            <w:pPr>
              <w:shd w:val="clear" w:color="auto" w:fill="F4B8FF"/>
              <w:rPr>
                <w:rFonts w:hint="default" w:eastAsia="宋体"/>
                <w:highlight w:val="none"/>
                <w:lang w:val="en-US" w:eastAsia="zh-CN"/>
              </w:rPr>
            </w:pPr>
            <w:r>
              <w:rPr>
                <w:rFonts w:hint="eastAsia"/>
                <w:highlight w:val="none"/>
                <w:lang w:val="en-US" w:eastAsia="zh-CN"/>
              </w:rPr>
              <w:t>01</w:t>
            </w:r>
          </w:p>
        </w:tc>
        <w:tc>
          <w:tcPr>
            <w:tcW w:w="650" w:type="dxa"/>
            <w:tcBorders>
              <w:bottom w:val="single" w:color="auto" w:sz="4" w:space="0"/>
            </w:tcBorders>
            <w:shd w:val="clear" w:color="auto" w:fill="auto"/>
            <w:vAlign w:val="center"/>
          </w:tcPr>
          <w:p>
            <w:pPr>
              <w:shd w:val="clear" w:color="auto" w:fill="F4B8FF"/>
              <w:rPr>
                <w:rFonts w:hint="default" w:eastAsia="宋体"/>
                <w:highlight w:val="none"/>
                <w:lang w:val="en-US" w:eastAsia="zh-CN"/>
              </w:rPr>
            </w:pPr>
          </w:p>
        </w:tc>
        <w:tc>
          <w:tcPr>
            <w:tcW w:w="650" w:type="dxa"/>
            <w:tcBorders>
              <w:bottom w:val="single" w:color="auto" w:sz="4" w:space="0"/>
            </w:tcBorders>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标准条款</w:t>
            </w:r>
          </w:p>
        </w:tc>
        <w:tc>
          <w:tcPr>
            <w:tcW w:w="608" w:type="dxa"/>
            <w:shd w:val="clear" w:color="auto" w:fill="auto"/>
            <w:vAlign w:val="center"/>
          </w:tcPr>
          <w:p>
            <w:pPr>
              <w:shd w:val="clear" w:color="auto" w:fill="F4B8FF"/>
              <w:rPr>
                <w:highlight w:val="none"/>
                <w:lang w:eastAsia="ja-JP"/>
              </w:rPr>
            </w:pPr>
            <w:r>
              <w:rPr>
                <w:rFonts w:hint="eastAsia"/>
                <w:highlight w:val="none"/>
              </w:rPr>
              <w:t>9.1</w:t>
            </w:r>
          </w:p>
        </w:tc>
        <w:tc>
          <w:tcPr>
            <w:tcW w:w="630" w:type="dxa"/>
            <w:shd w:val="clear" w:color="auto" w:fill="auto"/>
            <w:vAlign w:val="center"/>
          </w:tcPr>
          <w:p>
            <w:pPr>
              <w:shd w:val="clear" w:color="auto" w:fill="F4B8FF"/>
              <w:rPr>
                <w:highlight w:val="none"/>
                <w:lang w:eastAsia="ja-JP"/>
              </w:rPr>
            </w:pPr>
            <w:r>
              <w:rPr>
                <w:rFonts w:hint="eastAsia"/>
                <w:highlight w:val="none"/>
              </w:rPr>
              <w:t>9.2</w:t>
            </w:r>
          </w:p>
        </w:tc>
        <w:tc>
          <w:tcPr>
            <w:tcW w:w="615" w:type="dxa"/>
            <w:shd w:val="clear" w:color="auto" w:fill="auto"/>
            <w:vAlign w:val="center"/>
          </w:tcPr>
          <w:p>
            <w:pPr>
              <w:shd w:val="clear" w:color="auto" w:fill="F4B8FF"/>
              <w:rPr>
                <w:highlight w:val="none"/>
                <w:lang w:eastAsia="ja-JP"/>
              </w:rPr>
            </w:pPr>
            <w:r>
              <w:rPr>
                <w:rFonts w:hint="eastAsia"/>
                <w:highlight w:val="none"/>
              </w:rPr>
              <w:t>9.3</w:t>
            </w:r>
          </w:p>
        </w:tc>
        <w:tc>
          <w:tcPr>
            <w:tcW w:w="645" w:type="dxa"/>
            <w:shd w:val="clear" w:color="auto" w:fill="auto"/>
            <w:vAlign w:val="center"/>
          </w:tcPr>
          <w:p>
            <w:pPr>
              <w:shd w:val="clear" w:color="auto" w:fill="F4B8FF"/>
              <w:rPr>
                <w:highlight w:val="none"/>
                <w:lang w:eastAsia="ja-JP"/>
              </w:rPr>
            </w:pPr>
            <w:r>
              <w:rPr>
                <w:rFonts w:hint="eastAsia"/>
                <w:highlight w:val="none"/>
              </w:rPr>
              <w:t>10.1</w:t>
            </w:r>
          </w:p>
        </w:tc>
        <w:tc>
          <w:tcPr>
            <w:tcW w:w="637" w:type="dxa"/>
            <w:shd w:val="clear" w:color="auto" w:fill="auto"/>
            <w:vAlign w:val="center"/>
          </w:tcPr>
          <w:p>
            <w:pPr>
              <w:shd w:val="clear" w:color="auto" w:fill="F4B8FF"/>
              <w:rPr>
                <w:highlight w:val="none"/>
                <w:lang w:eastAsia="ja-JP"/>
              </w:rPr>
            </w:pPr>
            <w:r>
              <w:rPr>
                <w:rFonts w:hint="eastAsia"/>
                <w:highlight w:val="none"/>
              </w:rPr>
              <w:t>10.2</w:t>
            </w:r>
          </w:p>
        </w:tc>
        <w:tc>
          <w:tcPr>
            <w:tcW w:w="623" w:type="dxa"/>
            <w:shd w:val="clear" w:color="auto" w:fill="auto"/>
            <w:vAlign w:val="center"/>
          </w:tcPr>
          <w:p>
            <w:pPr>
              <w:shd w:val="clear" w:color="auto" w:fill="F4B8FF"/>
              <w:rPr>
                <w:highlight w:val="none"/>
                <w:lang w:eastAsia="ja-JP"/>
              </w:rPr>
            </w:pPr>
            <w:r>
              <w:rPr>
                <w:rFonts w:hint="eastAsia"/>
                <w:highlight w:val="none"/>
              </w:rPr>
              <w:t>10.3</w:t>
            </w:r>
          </w:p>
        </w:tc>
        <w:tc>
          <w:tcPr>
            <w:tcW w:w="637" w:type="dxa"/>
            <w:shd w:val="clear" w:color="auto" w:fill="auto"/>
            <w:vAlign w:val="center"/>
          </w:tcPr>
          <w:p>
            <w:pPr>
              <w:shd w:val="clear" w:color="auto" w:fill="F4B8FF"/>
              <w:rPr>
                <w:highlight w:val="none"/>
                <w:lang w:eastAsia="ja-JP"/>
              </w:rPr>
            </w:pPr>
          </w:p>
        </w:tc>
        <w:tc>
          <w:tcPr>
            <w:tcW w:w="688" w:type="dxa"/>
            <w:shd w:val="clear" w:color="auto" w:fill="auto"/>
            <w:vAlign w:val="center"/>
          </w:tcPr>
          <w:p>
            <w:pPr>
              <w:shd w:val="clear" w:color="auto" w:fill="F4B8FF"/>
              <w:rPr>
                <w:highlight w:val="none"/>
                <w:lang w:eastAsia="ja-JP"/>
              </w:rPr>
            </w:pPr>
          </w:p>
        </w:tc>
        <w:tc>
          <w:tcPr>
            <w:tcW w:w="600" w:type="dxa"/>
            <w:shd w:val="clear" w:color="auto" w:fill="auto"/>
            <w:vAlign w:val="center"/>
          </w:tcPr>
          <w:p>
            <w:pPr>
              <w:shd w:val="clear" w:color="auto" w:fill="F4B8FF"/>
              <w:rPr>
                <w:highlight w:val="none"/>
                <w:lang w:eastAsia="ja-JP"/>
              </w:rPr>
            </w:pPr>
          </w:p>
        </w:tc>
        <w:tc>
          <w:tcPr>
            <w:tcW w:w="587"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评价*)</w:t>
            </w:r>
          </w:p>
        </w:tc>
        <w:tc>
          <w:tcPr>
            <w:tcW w:w="608"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1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4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23"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p>
        </w:tc>
        <w:tc>
          <w:tcPr>
            <w:tcW w:w="688" w:type="dxa"/>
            <w:shd w:val="clear" w:color="auto" w:fill="auto"/>
            <w:vAlign w:val="center"/>
          </w:tcPr>
          <w:p>
            <w:pPr>
              <w:shd w:val="clear" w:color="auto" w:fill="F4B8FF"/>
              <w:rPr>
                <w:highlight w:val="none"/>
                <w:lang w:eastAsia="ja-JP"/>
              </w:rPr>
            </w:pPr>
          </w:p>
        </w:tc>
        <w:tc>
          <w:tcPr>
            <w:tcW w:w="600" w:type="dxa"/>
            <w:shd w:val="clear" w:color="auto" w:fill="auto"/>
            <w:vAlign w:val="center"/>
          </w:tcPr>
          <w:p>
            <w:pPr>
              <w:shd w:val="clear" w:color="auto" w:fill="F4B8FF"/>
              <w:rPr>
                <w:highlight w:val="none"/>
                <w:lang w:eastAsia="ja-JP"/>
              </w:rPr>
            </w:pPr>
          </w:p>
        </w:tc>
        <w:tc>
          <w:tcPr>
            <w:tcW w:w="587"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rPr>
              <w:t>不符合数量</w:t>
            </w:r>
          </w:p>
        </w:tc>
        <w:tc>
          <w:tcPr>
            <w:tcW w:w="608" w:type="dxa"/>
            <w:shd w:val="clear" w:color="auto" w:fill="auto"/>
            <w:vAlign w:val="center"/>
          </w:tcPr>
          <w:p>
            <w:pPr>
              <w:shd w:val="clear" w:color="auto" w:fill="F4B8FF"/>
              <w:rPr>
                <w:highlight w:val="none"/>
                <w:lang w:eastAsia="ja-JP"/>
              </w:rPr>
            </w:pPr>
          </w:p>
        </w:tc>
        <w:tc>
          <w:tcPr>
            <w:tcW w:w="630" w:type="dxa"/>
            <w:shd w:val="clear" w:color="auto" w:fill="auto"/>
            <w:vAlign w:val="center"/>
          </w:tcPr>
          <w:p>
            <w:pPr>
              <w:shd w:val="clear" w:color="auto" w:fill="F4B8FF"/>
              <w:rPr>
                <w:highlight w:val="none"/>
                <w:lang w:eastAsia="ja-JP"/>
              </w:rPr>
            </w:pPr>
          </w:p>
        </w:tc>
        <w:tc>
          <w:tcPr>
            <w:tcW w:w="615" w:type="dxa"/>
            <w:shd w:val="clear" w:color="auto" w:fill="auto"/>
            <w:vAlign w:val="center"/>
          </w:tcPr>
          <w:p>
            <w:pPr>
              <w:shd w:val="clear" w:color="auto" w:fill="F4B8FF"/>
              <w:rPr>
                <w:highlight w:val="none"/>
                <w:lang w:eastAsia="ja-JP"/>
              </w:rPr>
            </w:pPr>
          </w:p>
        </w:tc>
        <w:tc>
          <w:tcPr>
            <w:tcW w:w="645"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23"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88" w:type="dxa"/>
            <w:shd w:val="clear" w:color="auto" w:fill="auto"/>
            <w:vAlign w:val="center"/>
          </w:tcPr>
          <w:p>
            <w:pPr>
              <w:shd w:val="clear" w:color="auto" w:fill="F4B8FF"/>
              <w:rPr>
                <w:highlight w:val="none"/>
                <w:lang w:eastAsia="ja-JP"/>
              </w:rPr>
            </w:pPr>
          </w:p>
        </w:tc>
        <w:tc>
          <w:tcPr>
            <w:tcW w:w="600" w:type="dxa"/>
            <w:shd w:val="clear" w:color="auto" w:fill="auto"/>
            <w:vAlign w:val="center"/>
          </w:tcPr>
          <w:p>
            <w:pPr>
              <w:shd w:val="clear" w:color="auto" w:fill="F4B8FF"/>
              <w:rPr>
                <w:highlight w:val="none"/>
                <w:lang w:eastAsia="ja-JP"/>
              </w:rPr>
            </w:pPr>
          </w:p>
        </w:tc>
        <w:tc>
          <w:tcPr>
            <w:tcW w:w="587"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pict>
        <v:shape id="_x0000_s4097" o:spid="_x0000_s4097"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6"/>
      <w:pBdr>
        <w:bottom w:val="single" w:color="auto" w:sz="4" w:space="1"/>
      </w:pBdr>
      <w:spacing w:line="320" w:lineRule="exact"/>
      <w:ind w:firstLine="756" w:firstLineChars="400"/>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C7BF"/>
    <w:multiLevelType w:val="singleLevel"/>
    <w:tmpl w:val="8983C7BF"/>
    <w:lvl w:ilvl="0" w:tentative="0">
      <w:start w:val="1"/>
      <w:numFmt w:val="decimal"/>
      <w:suff w:val="space"/>
      <w:lvlText w:val="%1."/>
      <w:lvlJc w:val="left"/>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57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56CAEA"/>
    <w:multiLevelType w:val="singleLevel"/>
    <w:tmpl w:val="2756CAEA"/>
    <w:lvl w:ilvl="0" w:tentative="0">
      <w:start w:val="1"/>
      <w:numFmt w:val="decimal"/>
      <w:suff w:val="space"/>
      <w:lvlText w:val="%1."/>
      <w:lvlJc w:val="left"/>
    </w:lvl>
  </w:abstractNum>
  <w:abstractNum w:abstractNumId="6">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7">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42B7DFC"/>
    <w:multiLevelType w:val="singleLevel"/>
    <w:tmpl w:val="642B7DFC"/>
    <w:lvl w:ilvl="0" w:tentative="0">
      <w:start w:val="1"/>
      <w:numFmt w:val="decimal"/>
      <w:suff w:val="space"/>
      <w:lvlText w:val="%1."/>
      <w:lvlJc w:val="left"/>
    </w:lvl>
  </w:abstractNum>
  <w:num w:numId="1">
    <w:abstractNumId w:val="5"/>
  </w:num>
  <w:num w:numId="2">
    <w:abstractNumId w:val="2"/>
  </w:num>
  <w:num w:numId="3">
    <w:abstractNumId w:val="8"/>
  </w:num>
  <w:num w:numId="4">
    <w:abstractNumId w:val="0"/>
  </w:num>
  <w:num w:numId="5">
    <w:abstractNumId w:val="3"/>
  </w:num>
  <w:num w:numId="6">
    <w:abstractNumId w:val="1"/>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452630"/>
    <w:rsid w:val="0AA31889"/>
    <w:rsid w:val="0FBD174B"/>
    <w:rsid w:val="130A55FD"/>
    <w:rsid w:val="1A2225B8"/>
    <w:rsid w:val="20A0165A"/>
    <w:rsid w:val="36A67DC6"/>
    <w:rsid w:val="39C338E6"/>
    <w:rsid w:val="3AC66009"/>
    <w:rsid w:val="3B395C1E"/>
    <w:rsid w:val="481776BE"/>
    <w:rsid w:val="4A3A6CCE"/>
    <w:rsid w:val="58952568"/>
    <w:rsid w:val="592B102E"/>
    <w:rsid w:val="5954312D"/>
    <w:rsid w:val="59C4710E"/>
    <w:rsid w:val="5F830397"/>
    <w:rsid w:val="69262A59"/>
    <w:rsid w:val="69E91751"/>
    <w:rsid w:val="6D8101CB"/>
    <w:rsid w:val="6EDA3063"/>
    <w:rsid w:val="797A4216"/>
    <w:rsid w:val="7C9C64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7"/>
    </w:pPr>
    <w:rPr>
      <w:rFonts w:ascii="宋体" w:hAnsi="宋体" w:eastAsia="宋体"/>
      <w:sz w:val="20"/>
      <w:szCs w:val="20"/>
    </w:r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3"/>
    <w:unhideWhenUsed/>
    <w:qFormat/>
    <w:uiPriority w:val="99"/>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字符"/>
    <w:basedOn w:val="13"/>
    <w:link w:val="6"/>
    <w:qFormat/>
    <w:uiPriority w:val="99"/>
    <w:rPr>
      <w:rFonts w:ascii="Times New Roman" w:hAnsi="Times New Roman" w:eastAsia="宋体" w:cs="Times New Roman"/>
      <w:sz w:val="18"/>
      <w:szCs w:val="18"/>
    </w:rPr>
  </w:style>
  <w:style w:type="character" w:customStyle="1" w:styleId="18">
    <w:name w:val="页脚 字符"/>
    <w:basedOn w:val="13"/>
    <w:link w:val="5"/>
    <w:qFormat/>
    <w:uiPriority w:val="99"/>
    <w:rPr>
      <w:rFonts w:ascii="Times New Roman" w:hAnsi="Times New Roman" w:eastAsia="宋体" w:cs="Times New Roman"/>
      <w:sz w:val="18"/>
      <w:szCs w:val="18"/>
    </w:rPr>
  </w:style>
  <w:style w:type="character" w:customStyle="1" w:styleId="19">
    <w:name w:val="批注框文本 字符"/>
    <w:basedOn w:val="13"/>
    <w:link w:val="4"/>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13550</Words>
  <Characters>14744</Characters>
  <Lines>340</Lines>
  <Paragraphs>95</Paragraphs>
  <TotalTime>1</TotalTime>
  <ScaleCrop>false</ScaleCrop>
  <LinksUpToDate>false</LinksUpToDate>
  <CharactersWithSpaces>17122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2021-11-04T08:21:48Z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