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79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黔南兴隆生物科技有限公司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K-1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重质碳酸钙生产工艺流程：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方解石采购验收→挑选、清洗、晾干（必要时）→投料→粗粉碎→粉磨→分级→灌装→检验入库；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生产过程/服务过程的风险及控制措施：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原材料采购验收：重金属、无机砷、铅、酸不溶性灰分、碳酸钙含量、铁含量等超标；控制措施：从合格供方采购、每年索取第三方检测报告或送检进行验证，每批入厂检验；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分级：异物混入；控制措施：依据作业指导书进行控制；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检验入库：重金属超标：控制措施：按照GB25572、</w:t>
            </w:r>
            <w:r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原料采购及验收：1.从合格供方采购、每年索取第三方检测报告或送检进行验证，每批入厂检验；2. 分级：依据作业指导书进行控制；3. 检验入库：按照GB25572、</w:t>
            </w:r>
            <w:r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《中华人民共和国食品安全法》、GB 5009.75-2014《食品安全国家标准 食品添加剂中铅的测定》、GB 5009.74-2014《食品安全国家标准 食品添加剂中重金属限量试验》、GB 5009.76-2014《食品安全国家标准 食品添加剂中砷的测定》、GB 29924-2013《食品安全国家标准 食品添加剂标识通则》、GB25572-2010《食品安全国家标准 食品添加剂 氢氧化钙》、GB1886.214-2016《食品安全国家标准 食品添加剂 碳酸钙》、GB 2760-2014《食品安全国家标准 食品添加剂使用标准》、GB 31647-2018《食品安全国家标准 食品添加剂生产通用卫生规范》等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无型式检验要求；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每年按照产品标准要求，送检委托第三方检测1次，提供最新的产品检测报告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了解添加剂的食品安全特性指标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2021-</w:t>
            </w:r>
            <w:r>
              <w:rPr>
                <w:rFonts w:hint="eastAsia"/>
                <w:b/>
                <w:sz w:val="20"/>
                <w:lang w:val="en-US" w:eastAsia="zh-CN"/>
              </w:rPr>
              <w:t>10-14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肖新龙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2021-</w:t>
            </w:r>
            <w:r>
              <w:rPr>
                <w:rFonts w:hint="eastAsia"/>
                <w:b/>
                <w:sz w:val="20"/>
                <w:lang w:val="en-US" w:eastAsia="zh-CN"/>
              </w:rPr>
              <w:t>10-14</w:t>
            </w: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078D"/>
    <w:multiLevelType w:val="singleLevel"/>
    <w:tmpl w:val="BEEF07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79DA4E"/>
    <w:multiLevelType w:val="singleLevel"/>
    <w:tmpl w:val="0279DA4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CA03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2021-10-16T02:43:56Z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