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1030-2021-QEO</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hint="eastAsia" w:eastAsia="隶书"/>
                <w:b/>
                <w:color w:val="000000" w:themeColor="text1"/>
                <w:sz w:val="22"/>
                <w:szCs w:val="22"/>
                <w14:textFill>
                  <w14:solidFill>
                    <w14:schemeClr w14:val="tx1"/>
                  </w14:solidFill>
                </w14:textFill>
              </w:rPr>
              <w:t>四川国际招标有限责任公司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hint="eastAsia" w:eastAsia="隶书"/>
                <w:b/>
                <w:color w:val="000000" w:themeColor="text1"/>
                <w:sz w:val="22"/>
                <w:szCs w:val="22"/>
                <w14:textFill>
                  <w14:solidFill>
                    <w14:schemeClr w14:val="tx1"/>
                  </w14:solidFill>
                </w14:textFill>
              </w:rPr>
              <w:t>杨珍全</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rFonts w:hint="eastAsia"/>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rFonts w:hint="eastAsia"/>
                <w:sz w:val="22"/>
                <w:szCs w:val="22"/>
              </w:rPr>
              <w:t>915100007358588920</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ascii="Wingdings" w:hAnsi="Wingdings"/>
                <w:sz w:val="22"/>
                <w:szCs w:val="22"/>
              </w:rPr>
              <w:t>¨</w:t>
            </w:r>
            <w:r>
              <w:rPr>
                <w:rFonts w:hint="eastAsia"/>
                <w:sz w:val="22"/>
                <w:szCs w:val="22"/>
              </w:rPr>
              <w:t xml:space="preserve"> 带标  </w:t>
            </w:r>
            <w:r>
              <w:rPr>
                <w:rFonts w:hint="eastAsia" w:ascii="宋体" w:hAnsi="宋体" w:cs="宋体"/>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2" w:name="体系人数"/>
            <w:r>
              <w:rPr>
                <w:rFonts w:hint="eastAsia"/>
                <w:sz w:val="22"/>
                <w:szCs w:val="22"/>
              </w:rPr>
              <w:t>Q:55,E:55,O:55</w:t>
            </w:r>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3" w:name="初审"/>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 xml:space="preserve">初次认证  </w:t>
            </w:r>
            <w:bookmarkStart w:id="14" w:name="监督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 xml:space="preserve">监督审核  </w:t>
            </w:r>
            <w:bookmarkStart w:id="15" w:name="再认证勾选"/>
            <w:r>
              <w:rPr>
                <w:rFonts w:hint="eastAsia"/>
                <w:b/>
                <w:color w:val="000000" w:themeColor="text1"/>
                <w:spacing w:val="-2"/>
                <w:sz w:val="21"/>
                <w:szCs w:val="21"/>
                <w14:textFill>
                  <w14:solidFill>
                    <w14:schemeClr w14:val="tx1"/>
                  </w14:solidFill>
                </w14:textFill>
              </w:rPr>
              <w:t>■</w:t>
            </w:r>
            <w:bookmarkEnd w:id="15"/>
            <w:r>
              <w:rPr>
                <w:rFonts w:hint="eastAsia"/>
                <w:b/>
                <w:color w:val="000000" w:themeColor="text1"/>
                <w:spacing w:val="-2"/>
                <w:sz w:val="21"/>
                <w:szCs w:val="21"/>
                <w14:textFill>
                  <w14:solidFill>
                    <w14:schemeClr w14:val="tx1"/>
                  </w14:solidFill>
                </w14:textFill>
              </w:rPr>
              <w:t xml:space="preserve">再认证 </w:t>
            </w:r>
            <w:bookmarkStart w:id="16" w:name="特殊审核勾选"/>
            <w:r>
              <w:rPr>
                <w:rFonts w:hint="eastAsia"/>
                <w:b/>
                <w:color w:val="000000" w:themeColor="text1"/>
                <w:spacing w:val="-2"/>
                <w:sz w:val="21"/>
                <w:szCs w:val="21"/>
                <w14:textFill>
                  <w14:solidFill>
                    <w14:schemeClr w14:val="tx1"/>
                  </w14:solidFill>
                </w14:textFill>
              </w:rPr>
              <w:t>□</w:t>
            </w:r>
            <w:bookmarkEnd w:id="16"/>
            <w:r>
              <w:rPr>
                <w:rFonts w:hint="eastAsia"/>
                <w:b/>
                <w:color w:val="000000" w:themeColor="text1"/>
                <w:spacing w:val="-2"/>
                <w:sz w:val="21"/>
                <w:szCs w:val="21"/>
                <w14:textFill>
                  <w14:solidFill>
                    <w14:schemeClr w14:val="tx1"/>
                  </w14:solidFill>
                </w14:textFill>
              </w:rPr>
              <w:t>特殊审核  □换证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  □地址变更  □认证范围变更（□扩大□缩小）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7" w:name="组织名称Add1"/>
            <w:r>
              <w:rPr>
                <w:rFonts w:hint="eastAsia"/>
                <w:sz w:val="22"/>
                <w:szCs w:val="22"/>
              </w:rPr>
              <w:t>四川国际招标有限责任公司</w:t>
            </w:r>
            <w:bookmarkEnd w:id="17"/>
          </w:p>
        </w:tc>
        <w:tc>
          <w:tcPr>
            <w:tcW w:w="5013" w:type="dxa"/>
            <w:gridSpan w:val="4"/>
            <w:vMerge w:val="restart"/>
          </w:tcPr>
          <w:p>
            <w:pPr>
              <w:snapToGrid w:val="0"/>
              <w:spacing w:line="0" w:lineRule="atLeast"/>
              <w:jc w:val="left"/>
              <w:rPr>
                <w:sz w:val="22"/>
                <w:szCs w:val="22"/>
              </w:rPr>
            </w:pPr>
            <w:bookmarkStart w:id="18" w:name="审核范围"/>
            <w:r>
              <w:rPr>
                <w:rFonts w:hint="eastAsia"/>
                <w:sz w:val="22"/>
                <w:szCs w:val="22"/>
              </w:rPr>
              <w:t>Q：招标采购代理（政府采购代理、国际招标代理、企业招标代理、建设工程招标代理、中央投资项目招标代理、PPP项目招标采购代理、军工涉密业务招标代理）、进出口代理、咨询服务（工程咨询、招标采购培训）</w:t>
            </w:r>
          </w:p>
          <w:p>
            <w:pPr>
              <w:snapToGrid w:val="0"/>
              <w:spacing w:line="0" w:lineRule="atLeast"/>
              <w:jc w:val="left"/>
              <w:rPr>
                <w:sz w:val="22"/>
                <w:szCs w:val="22"/>
              </w:rPr>
            </w:pPr>
            <w:r>
              <w:rPr>
                <w:rFonts w:hint="eastAsia"/>
                <w:sz w:val="22"/>
                <w:szCs w:val="22"/>
              </w:rPr>
              <w:t>E：招标采购代理（政府采购代理、国际招标代理、企业招标代理、建设工程招标代理、中央投资项目招标代理、PPP项目招标采购代理、军工涉密业务招标代理）、进出口代理、咨询服务（工程咨询、招标采购培训）所涉及场所的相关环境管理活动</w:t>
            </w:r>
          </w:p>
          <w:p>
            <w:pPr>
              <w:snapToGrid w:val="0"/>
              <w:spacing w:line="0" w:lineRule="atLeast"/>
              <w:jc w:val="left"/>
              <w:rPr>
                <w:sz w:val="22"/>
                <w:szCs w:val="22"/>
              </w:rPr>
            </w:pPr>
            <w:r>
              <w:rPr>
                <w:rFonts w:hint="eastAsia"/>
                <w:sz w:val="22"/>
                <w:szCs w:val="22"/>
              </w:rPr>
              <w:t>O：招标采购代理（政府采购代理、国际招标代理、企业招标代理、建设工程招标代理、中央投资项目招标代理、PPP项目招标采购代理、军工涉密业务招标代理）、进出口代理、咨询服务（工程咨询、招标采购培训）所涉及场所的相关职业健康安全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9" w:name="注册地址"/>
            <w:r>
              <w:rPr>
                <w:rFonts w:hint="eastAsia"/>
                <w:sz w:val="22"/>
                <w:szCs w:val="22"/>
                <w:lang w:val="en-GB"/>
              </w:rPr>
              <w:t>中国（四川）自由贸易试验区成都市高新区天府四街66号2栋22层1号</w:t>
            </w:r>
            <w:bookmarkEnd w:id="19"/>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0" w:name="办公地址"/>
            <w:r>
              <w:rPr>
                <w:rFonts w:hint="eastAsia"/>
                <w:sz w:val="22"/>
                <w:szCs w:val="22"/>
                <w:lang w:val="en-GB"/>
              </w:rPr>
              <w:t>成都市高新区天府四街66号1栋17层1号、2号、3号、4号、5号</w:t>
            </w:r>
            <w:bookmarkEnd w:id="20"/>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bookmarkStart w:id="21" w:name="_GoBack"/>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highlight w:val="none"/>
              </w:rPr>
            </w:pPr>
            <w:r>
              <w:rPr>
                <w:rFonts w:cs="Arial"/>
                <w:b/>
                <w:bCs/>
                <w:sz w:val="22"/>
                <w:szCs w:val="16"/>
                <w:highlight w:val="none"/>
              </w:rPr>
              <w:t>Company Name</w:t>
            </w:r>
            <w:r>
              <w:rPr>
                <w:rFonts w:hint="eastAsia"/>
                <w:sz w:val="22"/>
                <w:szCs w:val="22"/>
                <w:highlight w:val="none"/>
                <w:lang w:val="en-GB"/>
              </w:rPr>
              <w:t>公司名称</w:t>
            </w:r>
          </w:p>
        </w:tc>
        <w:tc>
          <w:tcPr>
            <w:tcW w:w="3373" w:type="dxa"/>
            <w:vMerge w:val="restart"/>
          </w:tcPr>
          <w:p>
            <w:pPr>
              <w:snapToGrid w:val="0"/>
              <w:spacing w:line="0" w:lineRule="atLeast"/>
              <w:jc w:val="left"/>
              <w:rPr>
                <w:sz w:val="22"/>
                <w:szCs w:val="22"/>
                <w:highlight w:val="none"/>
              </w:rPr>
            </w:pPr>
            <w:r>
              <w:rPr>
                <w:sz w:val="22"/>
                <w:szCs w:val="22"/>
                <w:highlight w:val="none"/>
              </w:rPr>
              <w:t>Sichuan International Tendering Co., LTD</w:t>
            </w:r>
          </w:p>
        </w:tc>
        <w:tc>
          <w:tcPr>
            <w:tcW w:w="1337" w:type="dxa"/>
          </w:tcPr>
          <w:p>
            <w:pPr>
              <w:snapToGrid w:val="0"/>
              <w:spacing w:line="0" w:lineRule="atLeast"/>
              <w:jc w:val="left"/>
              <w:rPr>
                <w:sz w:val="22"/>
                <w:szCs w:val="22"/>
                <w:highlight w:val="none"/>
              </w:rPr>
            </w:pPr>
            <w:r>
              <w:rPr>
                <w:rFonts w:hint="eastAsia"/>
                <w:sz w:val="22"/>
                <w:szCs w:val="22"/>
                <w:highlight w:val="none"/>
              </w:rPr>
              <w:t>QMS/EcMS</w:t>
            </w:r>
          </w:p>
        </w:tc>
        <w:tc>
          <w:tcPr>
            <w:tcW w:w="3676" w:type="dxa"/>
            <w:gridSpan w:val="3"/>
          </w:tcPr>
          <w:p>
            <w:pPr>
              <w:snapToGrid w:val="0"/>
              <w:spacing w:line="0" w:lineRule="atLeast"/>
              <w:jc w:val="left"/>
              <w:rPr>
                <w:sz w:val="21"/>
                <w:szCs w:val="16"/>
              </w:rPr>
            </w:pPr>
            <w:r>
              <w:rPr>
                <w:sz w:val="22"/>
                <w:szCs w:val="22"/>
              </w:rPr>
              <w:t>Tendering and procurement agency (government procurement agency, international tendering agency, enterprise tendering agency, construction engineering tendering agency, central investment project tendering and procurement agency, PPP project tendering and procurement agency, military secret-related business tendering agency), import and export agency, consulting services (engineering consulting, tendering and procurement training)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highlight w:val="none"/>
              </w:rPr>
            </w:pPr>
          </w:p>
        </w:tc>
        <w:tc>
          <w:tcPr>
            <w:tcW w:w="3373" w:type="dxa"/>
            <w:vMerge w:val="continue"/>
          </w:tcPr>
          <w:p>
            <w:pPr>
              <w:snapToGrid w:val="0"/>
              <w:spacing w:line="0" w:lineRule="atLeast"/>
              <w:jc w:val="left"/>
              <w:rPr>
                <w:rFonts w:cs="Arial"/>
                <w:b/>
                <w:bCs/>
                <w:sz w:val="22"/>
                <w:szCs w:val="16"/>
                <w:highlight w:val="none"/>
              </w:rPr>
            </w:pPr>
          </w:p>
        </w:tc>
        <w:tc>
          <w:tcPr>
            <w:tcW w:w="1337" w:type="dxa"/>
          </w:tcPr>
          <w:p>
            <w:pPr>
              <w:snapToGrid w:val="0"/>
              <w:spacing w:line="0" w:lineRule="atLeast"/>
              <w:jc w:val="left"/>
              <w:rPr>
                <w:sz w:val="22"/>
                <w:szCs w:val="22"/>
                <w:highlight w:val="none"/>
              </w:rPr>
            </w:pPr>
            <w:r>
              <w:rPr>
                <w:rFonts w:hint="eastAsia"/>
                <w:sz w:val="22"/>
                <w:szCs w:val="22"/>
                <w:highlight w:val="none"/>
              </w:rPr>
              <w:t>EMS</w:t>
            </w:r>
          </w:p>
        </w:tc>
        <w:tc>
          <w:tcPr>
            <w:tcW w:w="3676" w:type="dxa"/>
            <w:gridSpan w:val="3"/>
          </w:tcPr>
          <w:p>
            <w:pPr>
              <w:snapToGrid w:val="0"/>
              <w:spacing w:line="0" w:lineRule="atLeast"/>
              <w:jc w:val="left"/>
              <w:rPr>
                <w:sz w:val="21"/>
                <w:szCs w:val="16"/>
              </w:rPr>
            </w:pPr>
            <w:r>
              <w:rPr>
                <w:sz w:val="22"/>
                <w:szCs w:val="22"/>
              </w:rPr>
              <w:t>Bidding procurement agency (government procurement agency, the international bidding agent, enterprise bidding agent, construction project bidding agency, the central investment project bidding agent, the PPP project bidding procurement agents, military classified business bidding agent), import and export agents, advisory services, engineering consulting, bidding and purchasing training) of the location involved environmental management activities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highlight w:val="none"/>
              </w:rPr>
            </w:pPr>
            <w:r>
              <w:rPr>
                <w:sz w:val="22"/>
                <w:szCs w:val="16"/>
                <w:highlight w:val="none"/>
              </w:rPr>
              <w:fldChar w:fldCharType="begin"/>
            </w:r>
            <w:r>
              <w:rPr>
                <w:sz w:val="22"/>
                <w:szCs w:val="16"/>
                <w:highlight w:val="none"/>
                <w:lang w:val="en-GB"/>
              </w:rPr>
              <w:instrText xml:space="preserve"> STYLEREF TM_street \* MERGEFORMAT </w:instrText>
            </w:r>
            <w:r>
              <w:rPr>
                <w:sz w:val="22"/>
                <w:szCs w:val="16"/>
                <w:highlight w:val="none"/>
              </w:rPr>
              <w:fldChar w:fldCharType="end"/>
            </w:r>
            <w:r>
              <w:rPr>
                <w:rFonts w:cs="Arial"/>
                <w:b/>
                <w:bCs/>
                <w:sz w:val="22"/>
                <w:szCs w:val="16"/>
                <w:highlight w:val="none"/>
              </w:rPr>
              <w:t>Registration Address</w:t>
            </w:r>
            <w:r>
              <w:rPr>
                <w:rFonts w:hint="eastAsia"/>
                <w:sz w:val="22"/>
                <w:szCs w:val="22"/>
                <w:highlight w:val="none"/>
                <w:lang w:val="en-GB"/>
              </w:rPr>
              <w:t>注册地址</w:t>
            </w:r>
          </w:p>
        </w:tc>
        <w:tc>
          <w:tcPr>
            <w:tcW w:w="3373" w:type="dxa"/>
            <w:vMerge w:val="restart"/>
          </w:tcPr>
          <w:p>
            <w:pPr>
              <w:snapToGrid w:val="0"/>
              <w:spacing w:line="0" w:lineRule="atLeast"/>
              <w:jc w:val="left"/>
              <w:rPr>
                <w:sz w:val="22"/>
                <w:szCs w:val="22"/>
                <w:highlight w:val="none"/>
              </w:rPr>
            </w:pPr>
            <w:r>
              <w:rPr>
                <w:sz w:val="22"/>
                <w:szCs w:val="22"/>
                <w:highlight w:val="none"/>
              </w:rPr>
              <w:t>Room 1, Floor 22, Building 2, No.66 Tianfu 4th Street, High-tech Zone, Chengdu, China (Sichuan) Pilot Free Trade Zone</w:t>
            </w:r>
          </w:p>
        </w:tc>
        <w:tc>
          <w:tcPr>
            <w:tcW w:w="1337" w:type="dxa"/>
          </w:tcPr>
          <w:p>
            <w:pPr>
              <w:snapToGrid w:val="0"/>
              <w:spacing w:line="0" w:lineRule="atLeast"/>
              <w:jc w:val="left"/>
              <w:rPr>
                <w:sz w:val="22"/>
                <w:szCs w:val="22"/>
                <w:highlight w:val="none"/>
              </w:rPr>
            </w:pPr>
            <w:r>
              <w:rPr>
                <w:rFonts w:hint="eastAsia"/>
                <w:sz w:val="22"/>
                <w:szCs w:val="22"/>
                <w:highlight w:val="none"/>
              </w:rPr>
              <w:t>OHSMS</w:t>
            </w:r>
          </w:p>
        </w:tc>
        <w:tc>
          <w:tcPr>
            <w:tcW w:w="3676" w:type="dxa"/>
            <w:gridSpan w:val="3"/>
          </w:tcPr>
          <w:p>
            <w:pPr>
              <w:snapToGrid w:val="0"/>
              <w:spacing w:line="0" w:lineRule="atLeast"/>
              <w:jc w:val="left"/>
              <w:rPr>
                <w:sz w:val="22"/>
                <w:szCs w:val="22"/>
              </w:rPr>
            </w:pPr>
            <w:r>
              <w:rPr>
                <w:sz w:val="22"/>
                <w:szCs w:val="22"/>
              </w:rPr>
              <w:t>Bidding procurement agency (government procurement agency, the international bidding agent, enterprise bidding agent, construction project bidding agency, the central investment project bidding agent, the PPP project bidding procurement agents, military classified business bidding agent), import and export agents, advisory services, engineering consulting, bidding and purchasing training) occupational health and safety management activities of the location involved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highlight w:val="green"/>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highlight w:val="green"/>
                <w:lang w:val="en-GB"/>
              </w:rPr>
            </w:pPr>
            <w:r>
              <w:rPr>
                <w:rFonts w:cs="Arial"/>
                <w:b/>
                <w:bCs/>
                <w:sz w:val="22"/>
                <w:szCs w:val="16"/>
                <w:highlight w:val="none"/>
              </w:rPr>
              <w:t>Operation Address</w:t>
            </w:r>
            <w:r>
              <w:rPr>
                <w:rFonts w:hint="eastAsia"/>
                <w:sz w:val="22"/>
                <w:szCs w:val="22"/>
                <w:highlight w:val="none"/>
              </w:rPr>
              <w:t>经营</w:t>
            </w:r>
            <w:r>
              <w:rPr>
                <w:rFonts w:hint="eastAsia"/>
                <w:sz w:val="22"/>
                <w:szCs w:val="22"/>
                <w:highlight w:val="none"/>
                <w:lang w:val="en-GB"/>
              </w:rPr>
              <w:t>地址</w:t>
            </w:r>
          </w:p>
        </w:tc>
        <w:tc>
          <w:tcPr>
            <w:tcW w:w="3373" w:type="dxa"/>
            <w:vMerge w:val="restart"/>
          </w:tcPr>
          <w:p>
            <w:pPr>
              <w:snapToGrid w:val="0"/>
              <w:spacing w:line="0" w:lineRule="atLeast"/>
              <w:jc w:val="left"/>
              <w:rPr>
                <w:sz w:val="22"/>
                <w:szCs w:val="22"/>
              </w:rPr>
            </w:pPr>
            <w:r>
              <w:rPr>
                <w:sz w:val="22"/>
                <w:szCs w:val="22"/>
                <w:lang w:val="en-GB"/>
              </w:rPr>
              <w:t>No.1, no.2, no.3, No.4, No.5, 17th Floor, Building 1, No.66 tianfu 4th Street, High-tech Zone, Chengdu city</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pStyle w:val="2"/>
        <w:spacing w:line="0" w:lineRule="atLeast"/>
        <w:ind w:firstLine="0"/>
        <w:rPr>
          <w:b/>
          <w:color w:val="000000" w:themeColor="text1"/>
          <w:sz w:val="18"/>
          <w:szCs w:val="18"/>
          <w:lang w:val="en-GB"/>
          <w14:textFill>
            <w14:solidFill>
              <w14:schemeClr w14:val="tx1"/>
            </w14:solidFill>
          </w14:textFill>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2540" r="0" b="0"/>
              <wp:wrapNone/>
              <wp:docPr id="2"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rot="0" vert="horz" wrap="square" lIns="91440" tIns="45720" rIns="91440" bIns="45720" anchor="t" anchorCtr="0" upright="1">
                      <a:noAutofit/>
                    </wps:bodyPr>
                  </wps:wsp>
                </a:graphicData>
              </a:graphic>
            </wp:anchor>
          </w:drawing>
        </mc:Choice>
        <mc:Fallback>
          <w:pict>
            <v:shape id="Text Box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cUAsCNgAAAAJ&#10;AQAADwAAAAAAAAABACAAAAAiAAAAZHJzL2Rvd25yZXYueG1sUEsBAhQAFAAAAAgAh07iQJ85y2cc&#10;AgAAQAQAAA4AAAAAAAAAAQAgAAAAJwEAAGRycy9lMm9Eb2MueG1sUEsFBgAAAAAGAAYAWQEAALUF&#10;A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HorizontalSpacing w:val="108"/>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1E9F"/>
    <w:rsid w:val="000D1E9F"/>
    <w:rsid w:val="005C777E"/>
    <w:rsid w:val="00602CB7"/>
    <w:rsid w:val="006A56B9"/>
    <w:rsid w:val="00CD2434"/>
    <w:rsid w:val="19C94F23"/>
    <w:rsid w:val="1A6E40A2"/>
    <w:rsid w:val="52F34C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453</Words>
  <Characters>2583</Characters>
  <Lines>21</Lines>
  <Paragraphs>6</Paragraphs>
  <TotalTime>1</TotalTime>
  <ScaleCrop>false</ScaleCrop>
  <LinksUpToDate>false</LinksUpToDate>
  <CharactersWithSpaces>3030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2021-10-19T07:08:00Z</dcterms:created>
  <dc:creator>微软用户</dc:creator>
  <cp:lastModifiedBy>way一直都在</cp:lastModifiedBy>
  <cp:lastPrinted>2019-05-13T03:13:00Z</cp:lastPrinted>
  <dcterms:modified xsi:type="dcterms:W3CDTF">2021-10-19T07:53:18Z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2052-11.1.0.10700</vt:lpwstr>
  </property>
</Properties>
</file>